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8103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43061D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Eesti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Noorsootöötajate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Kogu</w:t>
      </w:r>
      <w:proofErr w:type="spellEnd"/>
    </w:p>
    <w:p w14:paraId="5B4E5EF3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89D7700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BEB3C53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7629A0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227A122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55D9686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2649894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83E3006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4C509E1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618E351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3D56774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EE9C7D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8F64EF5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400E42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06FBA30" w14:textId="77777777" w:rsidR="00F61EF0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E-PORTFOOLIO JUHEND NOORSOOTÖÖTAJA OSAKUTSE, TASE 5 TAASTÕENDAMISEKS</w:t>
      </w:r>
    </w:p>
    <w:p w14:paraId="3946B6D4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8E0B25D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278157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999B21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4E1277E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B4D2D5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00908D9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A55402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94AF23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D0FA675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71C10D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07F4CC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3473797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E2C4A8A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3449D3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011E9D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00235B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594E5A" w14:textId="77777777" w:rsidR="00F61EF0" w:rsidRDefault="00F61EF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1F8292" w14:textId="77777777" w:rsidR="00F61EF0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 w14:paraId="5FE11DDD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Käesolev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ehk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eneseanalüüsi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juhend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aitab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koostada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noorsootöötaja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kutse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esmakordseks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taotlemiseks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taastõendamiseks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Enne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asumist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palun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tutvu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vastava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noorsootöötaja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kutsestandardiga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soovid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taastõendama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hakata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Kutsestandardi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läbitöötamine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taotlemist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vajalik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hindamiskomisjonil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õigus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esitada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taotlejale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kutsestandardi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kohta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küsimusi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4386D1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97F077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Noorsootöötaja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, tase 5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kutsestandard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laagrikasvataja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tase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osakutse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EF0FEB1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6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Noorsootöötaja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, tase 6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kutsestandard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laagrikasvataja-juhataja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tase 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osakutse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E6790B6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Noorsootööjuht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, tase 7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kutsestandard</w:t>
        </w:r>
        <w:proofErr w:type="spellEnd"/>
      </w:hyperlink>
    </w:p>
    <w:p w14:paraId="262769BD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104669" w14:textId="7EF59DD5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Lis</w:t>
      </w:r>
      <w:r w:rsidR="005025A4"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küsimuste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korral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võta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ühendust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Eesti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Noorsootöötajate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Koguga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meiliaadressil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kutse@enk.ee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6A004F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9AD28F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6F8C752A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Portfoolio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eesmärk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koostada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eneseanalüüs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viimase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viie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aasta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tegevuste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kohta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noorsootöös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arvesse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läheb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vabatahtlik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töö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palgatöö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analüüsida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kogemusi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tegevusi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vastavalt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kutsestandardi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kompetentsidele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nende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tegevusnäitajatele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Analüüsi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ennast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noorsootöötajat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mitte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asutust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või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meeskonda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tegutsed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ehk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too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konkreetselt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välja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roll.</w:t>
      </w:r>
    </w:p>
    <w:p w14:paraId="7A77B574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79243E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täitmisel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oluline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silmas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pidada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et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hindamisel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soovitakse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välja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selgitada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temalt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eeldatavate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kompetentsi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nõuetega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tuttav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kompetentsi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olemasolu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tõendatud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kas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kirjelduse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tõendusmaterjalide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kaudu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kirjeldatud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nende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kasutamist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praktikas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meeskonna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juhtimisel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tööplaani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koostamisel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B70372B" w14:textId="77777777" w:rsidR="00F61EF0" w:rsidRDefault="00000000">
      <w:p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Pööra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tähelepanu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6B011B86" w14:textId="77777777" w:rsidR="00F61EF0" w:rsidRDefault="00000000">
      <w:p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Igal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kutse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tasemel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eneseanalüüsi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89D8A5" w14:textId="77777777" w:rsidR="00F61EF0" w:rsidRDefault="00000000">
      <w:pPr>
        <w:numPr>
          <w:ilvl w:val="0"/>
          <w:numId w:val="1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vabalt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valitud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failivormingus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pdf,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veebileht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mitte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veebilehena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mis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nõuab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sisse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logimist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või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jätab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jälje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dokumendi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lugemisest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google docs link).</w:t>
      </w:r>
    </w:p>
    <w:p w14:paraId="5748FA3F" w14:textId="77777777" w:rsidR="00F61EF0" w:rsidRDefault="00000000">
      <w:pPr>
        <w:numPr>
          <w:ilvl w:val="0"/>
          <w:numId w:val="1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Kõik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osad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kohustuslikud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eneseanalüüsi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peab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olema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eristatud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B52798" w14:textId="0C4EC310" w:rsidR="00F61EF0" w:rsidRDefault="00000000">
      <w:pPr>
        <w:numPr>
          <w:ilvl w:val="0"/>
          <w:numId w:val="1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25 %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igast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kompetentsist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võib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tõendada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erinevas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vormis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tõendusmaterjaliga</w:t>
      </w:r>
      <w:proofErr w:type="spellEnd"/>
      <w:r w:rsidR="005A1FE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5A1FE7"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 w:rsidR="005A1F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sz w:val="26"/>
          <w:szCs w:val="26"/>
        </w:rPr>
        <w:t>videosisu</w:t>
      </w:r>
      <w:proofErr w:type="spellEnd"/>
      <w:r w:rsidR="005A1F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5A1FE7">
        <w:rPr>
          <w:rFonts w:ascii="Times New Roman" w:eastAsia="Times New Roman" w:hAnsi="Times New Roman" w:cs="Times New Roman"/>
          <w:sz w:val="26"/>
          <w:szCs w:val="26"/>
        </w:rPr>
        <w:t>fotod</w:t>
      </w:r>
      <w:proofErr w:type="spellEnd"/>
      <w:r w:rsidR="005A1F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sz w:val="26"/>
          <w:szCs w:val="26"/>
        </w:rPr>
        <w:t>jne</w:t>
      </w:r>
      <w:proofErr w:type="spellEnd"/>
      <w:r w:rsidR="005A1FE7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hindamiskomisjoni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liikmetele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juhend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tõendusmaterjal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asu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eneseanalüüsi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vormis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BCAA7E" w14:textId="77777777" w:rsidR="00F61EF0" w:rsidRDefault="00000000">
      <w:pPr>
        <w:numPr>
          <w:ilvl w:val="0"/>
          <w:numId w:val="1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Eneseanalüüsi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põhjale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lubatud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loominguliselt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läheneda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ehk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vajadusel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võib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kompetentside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järjekorda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või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ülesehitust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muuta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kirjeldada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kogemusi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väljaspool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etteantud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tabelit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kompetentsi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juures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tuleb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tõendada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kõik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tegevusnäitajad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mis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loetletud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vastavas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kutsestandardis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E5670F" w14:textId="77777777" w:rsidR="00F61EF0" w:rsidRDefault="00000000">
      <w:pPr>
        <w:numPr>
          <w:ilvl w:val="0"/>
          <w:numId w:val="1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Eneseanalüüsi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koostades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oluline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kirjeldada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konkreetseid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olukordi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ning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tuua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näiteid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Näiteks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tegevusnäitaja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kirjeldab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huvide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vajaduste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välja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selgitamist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kutse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toob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enda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välja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kuidas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selgitab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välja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huvid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vajadused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milliseid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meetodeid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selleks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kasutab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AF88A2" w14:textId="77777777" w:rsidR="00F61EF0" w:rsidRDefault="00000000">
      <w:pPr>
        <w:numPr>
          <w:ilvl w:val="0"/>
          <w:numId w:val="1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Portfooliot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pea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koostama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laagrikasvataja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osakutse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tase 5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esmakordsed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taotlejad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! </w:t>
      </w:r>
    </w:p>
    <w:p w14:paraId="6D19950D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780AA3" w14:textId="7348377F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Dokumendid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millega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peab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osa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kutse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taotleja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taastõendaja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olema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tuttav</w:t>
      </w:r>
      <w:proofErr w:type="spellEnd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>ning</w:t>
      </w:r>
      <w:proofErr w:type="spellEnd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>mille</w:t>
      </w:r>
      <w:proofErr w:type="spellEnd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>kasutamisele</w:t>
      </w:r>
      <w:proofErr w:type="spellEnd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>peab</w:t>
      </w:r>
      <w:proofErr w:type="spellEnd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>viitama</w:t>
      </w:r>
      <w:proofErr w:type="spellEnd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>enda</w:t>
      </w:r>
      <w:proofErr w:type="spellEnd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1FE7">
        <w:rPr>
          <w:rFonts w:ascii="Times New Roman" w:eastAsia="Times New Roman" w:hAnsi="Times New Roman" w:cs="Times New Roman"/>
          <w:b/>
          <w:sz w:val="26"/>
          <w:szCs w:val="26"/>
        </w:rPr>
        <w:t>portfoolios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5D3CCCE1" w14:textId="77777777" w:rsidR="00F61EF0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9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Noorsootöö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seadus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8CC063" w14:textId="77777777" w:rsidR="00F61EF0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0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Vastava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taseme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noorsootöötaja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kutsestandard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2BD57FA" w14:textId="77777777" w:rsidR="00F61EF0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Noorsootöötaja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kutse-eetika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4E4ECA3" w14:textId="77777777" w:rsidR="00F61EF0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Noorsootöötaja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kutse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andmise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kord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D56EDE2" w14:textId="77777777" w:rsidR="00F61EF0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3" w:anchor="laagrite-korraldamis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Ringkiri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noorte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-ja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püsilaagrite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koosseisu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kohta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AF0F64C" w14:textId="77777777" w:rsidR="00F61EF0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"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Hindamise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korraldamise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juhend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256ECA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0C182988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E-PORTFOOLIO VORM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5FDFA56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LAAGRIKASVATAJA, TASE 5 OSAKUTSE TAASTÕENDAMINE</w:t>
        </w:r>
      </w:hyperlink>
    </w:p>
    <w:p w14:paraId="4B7963FF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61EF0" w14:paraId="493C4A6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14AB" w14:textId="77777777" w:rsidR="00F61E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Nimi: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8E3B" w14:textId="77777777" w:rsidR="00F61EF0" w:rsidRDefault="00F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61EF0" w14:paraId="6D40787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D4AC" w14:textId="77777777" w:rsidR="00F61E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E-post: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903D" w14:textId="77777777" w:rsidR="00F61EF0" w:rsidRDefault="00F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61EF0" w14:paraId="1452093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FE7E" w14:textId="77777777" w:rsidR="00F61E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Mida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taastõendan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12B3" w14:textId="77777777" w:rsidR="00F61EF0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Tase 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noorsootöötaja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osakutse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ehk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laagrikasvataja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osakutse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tase 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taastõendamine</w:t>
            </w:r>
            <w:proofErr w:type="spellEnd"/>
          </w:p>
          <w:p w14:paraId="29F41839" w14:textId="77777777" w:rsidR="00F61EF0" w:rsidRDefault="00F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</w:p>
        </w:tc>
      </w:tr>
    </w:tbl>
    <w:p w14:paraId="2A3859E6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DD9B01" w14:textId="77777777" w:rsidR="00F61EF0" w:rsidRDefault="00F61EF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905606" w14:textId="77777777" w:rsidR="00F61EF0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Kirjeldage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lühidalt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milline 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senine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töökogemus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vabatahtliku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töö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kogemus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noortega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noorsootöös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viimase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aasta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jooksul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A40E3CC" w14:textId="77777777" w:rsidR="00F61E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Kirjeldus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766FC4C0" w14:textId="77777777" w:rsidR="00F61EF0" w:rsidRDefault="00F61EF0">
      <w:pPr>
        <w:spacing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DBEA11" w14:textId="77777777" w:rsidR="00F61EF0" w:rsidRDefault="00000000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Enda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portfoolios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kompetentse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nende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tegevusnäitajaid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analüüsides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peaks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peegelduma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14:paraId="67AF72CD" w14:textId="77777777" w:rsidR="00F61EF0" w:rsidRDefault="00000000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Kui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suures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osas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kasutad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vastavat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kompetentsi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oma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tööülesannete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täitmisel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14:paraId="50D42080" w14:textId="77777777" w:rsidR="00F61EF0" w:rsidRDefault="00000000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Kui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oskuslikuks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end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selles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kompetentsis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pead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14:paraId="74EFBC44" w14:textId="77777777" w:rsidR="00F61EF0" w:rsidRDefault="00000000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Kui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vajalikuks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pead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enda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arendamist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selles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kompetentsis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14:paraId="2C1680E1" w14:textId="77777777" w:rsidR="00F61EF0" w:rsidRDefault="00000000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NOORSOOTÖÖ KORRALDAMINE (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kompetents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B.3.1)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61EF0" w14:paraId="1B5FD33D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FB19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Tunneb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noortevaldkonna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osapooli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teeb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nendega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koostööd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vastavalt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oma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tegevuse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eesmärkidele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5B43F66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8707" w14:textId="77777777" w:rsidR="00F61EF0" w:rsidRDefault="00000000">
            <w:pPr>
              <w:keepLines/>
              <w:widowControl w:val="0"/>
              <w:spacing w:after="200" w:line="36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tooge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välja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milliseid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noortevaldkonna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osapooli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tead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teed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nendega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koostööd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vastavalt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tegevuse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eesmärkidele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too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konkreetseid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näiteid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  <w:tr w:rsidR="00F61EF0" w14:paraId="05EE237F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A59B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1.2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Selgitab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välja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huvid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vajadused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suheldes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nendega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igapäevatöös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või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kasutades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muid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sobivaid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meetodeid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planeerib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oma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tegevused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kaasates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saadud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tulemustest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organisatsiooni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eesmärkidest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lähtudes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42432B6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801A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tooge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konkreetseid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näiteid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selgitate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välja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huvid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vajadused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milliseid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meetodeid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kasutate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kaasate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jne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  <w:tr w:rsidR="00F61EF0" w14:paraId="7FED852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E777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1.3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seada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õpieesmärke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läbi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erinevaid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mitteformaalse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õppe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tegevusi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toetab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õpitulemuste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mõtestamisel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edasiviivat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tagasisidet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50D2679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7A4B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tooge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konkreetseid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näiteid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aitate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noortel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seada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eesmärke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milliseid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mitteformaalse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õppe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tegevusi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olete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läbi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viinud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toetate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noori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õpitulemuste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mõtestamisele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annate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tagasisidet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)</w:t>
            </w:r>
          </w:p>
        </w:tc>
      </w:tr>
      <w:tr w:rsidR="00F61EF0" w14:paraId="5A88075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CC540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Tutvustab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noorsootöös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rahvusvahelises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ühiskonnaelus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osalemise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võimalusi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toetab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motiveerib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süstemaatiliselt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nende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ettevõtlikkust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omaalgatust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7D93204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34FA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tooge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konkreetseid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näiteid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tutvustate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noorsootöö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võimalusi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toetate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motiveerite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toetate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nende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ettevõtlikkust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omaalgatust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  <w:tr w:rsidR="00F61EF0" w14:paraId="0890287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2C3F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1.5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Osaleb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tõrjutusriski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ennetuse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tegevustes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märkab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tõrjutusriske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reageerib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neile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asjakohaselt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kaasates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vajadusel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spetsialiste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toetab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õiguskuulekate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hoiakute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kujundamist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72FA4B1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CD37E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tooge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konkreetseid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näiteid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millistes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tõrjutuse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ennetamiseks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mõeldud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tegevustes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olete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osalenud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märkate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tõrjutuse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riske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neile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reageerite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milliseid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spetsialiste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olete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vajadusel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kaasanud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toetate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õiguskuulekate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hoiakute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kujundamist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  <w:tr w:rsidR="00F61EF0" w14:paraId="58FF017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5B52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1.6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Planeerib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teeb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iseseivalt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noorteinfotööd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koondab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jagab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huvidel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vajadustel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põhinevat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infot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lähtuvalt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Euroopa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noorteinfo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hartast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kasutades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asjakohaseid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kanaleid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meetodeid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7543D202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70FF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tooge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välja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planeerite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teete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noorteinfotööd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jagate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huvidel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vajadustel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põhinevat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infot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lähtuvalt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Euroopa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noorteinfo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hartast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milliseid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asjakohaseid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kanaleid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meetodeid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selleks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kasutate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  <w:tr w:rsidR="00F61EF0" w14:paraId="3683891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7BBB" w14:textId="77777777" w:rsidR="00F61EF0" w:rsidRDefault="0000000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1.7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läbi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esmast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nõustamist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pakub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vaimse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tervise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esmaabi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hindab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vajadust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erialaspetsialisti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kaasamiseks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toetab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erialaspetsialisti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poole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pöördumisel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28D3E622" w14:textId="77777777">
        <w:trPr>
          <w:trHeight w:val="1552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9D6E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tooge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välja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viite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läbi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esmast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nõustamist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jja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pakute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vaimse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tervise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esmaabi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hindate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vajadust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erialaspetsalisti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kaasamiseks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antud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protsessis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toetate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  <w:p w14:paraId="6A5A64A4" w14:textId="77777777" w:rsidR="00F61EF0" w:rsidRDefault="00F61EF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61EF0" w14:paraId="327F175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782C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1.8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Tutvustab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avalikkusele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noorsootöö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võimalusi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kasutades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erinevaid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meedia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suhtluskanaleid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teisi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asjakohaseid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väljundeid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42C37EDC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1E0B" w14:textId="77777777" w:rsidR="00F61EF0" w:rsidRDefault="00000000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portfoolios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tutvustate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avalikkusele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noorsootöö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võimalusi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laagrit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huvitegevust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malevat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jne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milliseid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erinevaid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kanaleid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olete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kasutanud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</w:tbl>
    <w:p w14:paraId="60E6A938" w14:textId="77777777" w:rsidR="00F61EF0" w:rsidRDefault="00F61EF0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F6A762" w14:textId="77777777" w:rsidR="00F61EF0" w:rsidRDefault="00000000">
      <w:pPr>
        <w:numPr>
          <w:ilvl w:val="0"/>
          <w:numId w:val="3"/>
        </w:numPr>
        <w:spacing w:before="200" w:after="20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TURVALISE KESKKONNA TAGAMINE (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kompetents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B.3.2)</w:t>
      </w: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61EF0" w14:paraId="1B6C89A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00C82" w14:textId="77777777" w:rsidR="00F61EF0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2.1 Loob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turvalise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füüsilise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psühhosotsiaalse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keskkonna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mis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toetab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usalduslike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suhete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kujunemist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rakendades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riskianalüüsis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määratud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meetmeid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78E68DBB" w14:textId="77777777">
        <w:trPr>
          <w:trHeight w:val="141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AEE0" w14:textId="77777777" w:rsidR="00F61EF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kujundate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turvalise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füüsilise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psühhosotsiaalse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keskkonna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mis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toetab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usalduslike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suhete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kujunemist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rakendate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riskianalüüsis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määratud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meetmeid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  <w:tr w:rsidR="00F61EF0" w14:paraId="637430A2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2E47" w14:textId="77777777" w:rsidR="00F61EF0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2.2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Tutvustab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noortele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turvalise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keskkonna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tagamise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reegleid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ohutusnõudeid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jälgib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nende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täitmist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1EF0" w14:paraId="2B0D2572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A4B1" w14:textId="77777777" w:rsidR="00F61EF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tutvustate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noortele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turvalise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keskkonna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tagamise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reegleid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ohutusnõudeid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jälgite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nende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täitmist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</w:tbl>
    <w:p w14:paraId="326245BB" w14:textId="77777777" w:rsidR="00F61EF0" w:rsidRDefault="00F61EF0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19DD10" w14:textId="77777777" w:rsidR="00F61EF0" w:rsidRDefault="00000000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NOORSOOTÖÖTAJA, TASE 5 ÜLDOSKUSED</w:t>
      </w: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61EF0" w14:paraId="7F57FD2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AF9E" w14:textId="77777777" w:rsidR="00F61E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Üldoskused</w:t>
            </w:r>
            <w:proofErr w:type="spellEnd"/>
          </w:p>
        </w:tc>
      </w:tr>
      <w:tr w:rsidR="00F61EF0" w14:paraId="7F2AB25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1A02" w14:textId="77777777" w:rsidR="00F61E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kirjeldage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kasutate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enda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töös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noorsootöötaja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, tase 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üldoskuseid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 xml:space="preserve">: </w:t>
            </w:r>
            <w:hyperlink r:id="rId16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4"/>
                  <w:szCs w:val="24"/>
                  <w:u w:val="single"/>
                </w:rPr>
                <w:t>https://www.kutseregister.ee/ctrl/et/Standardid/vaata/11094711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)</w:t>
            </w:r>
          </w:p>
        </w:tc>
      </w:tr>
    </w:tbl>
    <w:p w14:paraId="240897F0" w14:textId="77777777" w:rsidR="00F61EF0" w:rsidRDefault="00F61EF0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B98E0D" w14:textId="77777777" w:rsidR="00F61EF0" w:rsidRDefault="00F61EF0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8B8DF3" w14:textId="77777777" w:rsidR="00F61EF0" w:rsidRDefault="00000000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Kui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oled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lisanud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enda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taotlusele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täiendusõppe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läbimise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tõendeid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mis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ole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otseselt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seotud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noortevaldkonnaga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siis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palun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kirjelda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kuidas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antud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tõendid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toetavad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teid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teie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erialasel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tööl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sectPr w:rsidR="00F61E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51B3"/>
    <w:multiLevelType w:val="multilevel"/>
    <w:tmpl w:val="057A85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CC4349"/>
    <w:multiLevelType w:val="multilevel"/>
    <w:tmpl w:val="EEAA88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0E2E9F"/>
    <w:multiLevelType w:val="multilevel"/>
    <w:tmpl w:val="66AC6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EE134CF"/>
    <w:multiLevelType w:val="multilevel"/>
    <w:tmpl w:val="2B9A24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BC2C0C"/>
    <w:multiLevelType w:val="multilevel"/>
    <w:tmpl w:val="E4BA71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22D7D44"/>
    <w:multiLevelType w:val="multilevel"/>
    <w:tmpl w:val="F56E18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23120095">
    <w:abstractNumId w:val="2"/>
  </w:num>
  <w:num w:numId="2" w16cid:durableId="1116095381">
    <w:abstractNumId w:val="0"/>
  </w:num>
  <w:num w:numId="3" w16cid:durableId="1152524864">
    <w:abstractNumId w:val="5"/>
  </w:num>
  <w:num w:numId="4" w16cid:durableId="1978027334">
    <w:abstractNumId w:val="1"/>
  </w:num>
  <w:num w:numId="5" w16cid:durableId="68894392">
    <w:abstractNumId w:val="3"/>
  </w:num>
  <w:num w:numId="6" w16cid:durableId="724253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F0"/>
    <w:rsid w:val="005025A4"/>
    <w:rsid w:val="005A1FE7"/>
    <w:rsid w:val="00E55809"/>
    <w:rsid w:val="00F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DF3D88"/>
  <w15:docId w15:val="{BE5FFB91-EB41-E44A-8919-04E73C59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tse@enk.ee" TargetMode="External"/><Relationship Id="rId13" Type="http://schemas.openxmlformats.org/officeDocument/2006/relationships/hyperlink" Target="https://harno.ee/laagri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utseregister.ee/ctrl/et/Standardid/vaata/11094799" TargetMode="External"/><Relationship Id="rId12" Type="http://schemas.openxmlformats.org/officeDocument/2006/relationships/hyperlink" Target="https://www.kutseregister.ee/ctrl/et/KAO_Fail/downloadFile/113382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utseregister.ee/ctrl/et/Standardid/vaata/110947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utseregister.ee/ctrl/et/Standardid/vaata/11094736" TargetMode="External"/><Relationship Id="rId11" Type="http://schemas.openxmlformats.org/officeDocument/2006/relationships/hyperlink" Target="https://www.google.com/url?sa=i&amp;url=https%3A%2F%2Fwww.kutseregister.ee%2Fctrl%2Fet%2FStandardid_Lisa%2FdownloadFile%2F10667811&amp;psig=AOvVaw1roWeKhytCdyj6XQtmofYm&amp;ust=1753968791856000&amp;source=images&amp;cd=vfe&amp;opi=89978449&amp;ved=0CAcQr5oMahcKEwiI-NiH2eSOAxUAAAAAHQAAAAAQBA" TargetMode="External"/><Relationship Id="rId5" Type="http://schemas.openxmlformats.org/officeDocument/2006/relationships/hyperlink" Target="https://www.kutseregister.ee/ctrl/et/Standardid/vaata/11094711" TargetMode="External"/><Relationship Id="rId15" Type="http://schemas.openxmlformats.org/officeDocument/2006/relationships/hyperlink" Target="https://www.kutseregister.ee/ctrl/et/Standardid/vaata/11094711" TargetMode="External"/><Relationship Id="rId10" Type="http://schemas.openxmlformats.org/officeDocument/2006/relationships/hyperlink" Target="https://www.kutseregister.ee/ctrl/et/KAO/vaata/109936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16062020010?leiaKehtiv" TargetMode="External"/><Relationship Id="rId14" Type="http://schemas.openxmlformats.org/officeDocument/2006/relationships/hyperlink" Target="https://enk.ee/wp-content/uploads/2025/04/Hindamise-korraldamise-juhend.docx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1343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Birgit Lukk</cp:lastModifiedBy>
  <cp:revision>3</cp:revision>
  <dcterms:created xsi:type="dcterms:W3CDTF">2025-09-04T09:59:00Z</dcterms:created>
  <dcterms:modified xsi:type="dcterms:W3CDTF">2025-09-04T10:05:00Z</dcterms:modified>
</cp:coreProperties>
</file>