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02">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Eesti Noorsootöötajate Kogu</w:t>
      </w:r>
    </w:p>
    <w:p w:rsidR="00000000" w:rsidDel="00000000" w:rsidP="00000000" w:rsidRDefault="00000000" w:rsidRPr="00000000" w14:paraId="00000003">
      <w:pP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ab/>
        <w:tab/>
        <w:tab/>
        <w:tab/>
        <w:tab/>
        <w:tab/>
        <w:tab/>
      </w:r>
    </w:p>
    <w:p w:rsidR="00000000" w:rsidDel="00000000" w:rsidP="00000000" w:rsidRDefault="00000000" w:rsidRPr="00000000" w14:paraId="00000004">
      <w:pP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r>
    </w:p>
    <w:p w:rsidR="00000000" w:rsidDel="00000000" w:rsidP="00000000" w:rsidRDefault="00000000" w:rsidRPr="00000000" w14:paraId="00000005">
      <w:pPr>
        <w:jc w:val="cente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06">
      <w:pP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r>
    </w:p>
    <w:p w:rsidR="00000000" w:rsidDel="00000000" w:rsidP="00000000" w:rsidRDefault="00000000" w:rsidRPr="00000000" w14:paraId="00000007">
      <w:pP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r>
    </w:p>
    <w:p w:rsidR="00000000" w:rsidDel="00000000" w:rsidP="00000000" w:rsidRDefault="00000000" w:rsidRPr="00000000" w14:paraId="00000008">
      <w:pP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r>
    </w:p>
    <w:p w:rsidR="00000000" w:rsidDel="00000000" w:rsidP="00000000" w:rsidRDefault="00000000" w:rsidRPr="00000000" w14:paraId="00000009">
      <w:pP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r>
    </w:p>
    <w:p w:rsidR="00000000" w:rsidDel="00000000" w:rsidP="00000000" w:rsidRDefault="00000000" w:rsidRPr="00000000" w14:paraId="0000000A">
      <w:pP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r>
    </w:p>
    <w:p w:rsidR="00000000" w:rsidDel="00000000" w:rsidP="00000000" w:rsidRDefault="00000000" w:rsidRPr="00000000" w14:paraId="0000000B">
      <w:pP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r>
    </w:p>
    <w:p w:rsidR="00000000" w:rsidDel="00000000" w:rsidP="00000000" w:rsidRDefault="00000000" w:rsidRPr="00000000" w14:paraId="0000000C">
      <w:pP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r>
    </w:p>
    <w:p w:rsidR="00000000" w:rsidDel="00000000" w:rsidP="00000000" w:rsidRDefault="00000000" w:rsidRPr="00000000" w14:paraId="0000000D">
      <w:pP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ab/>
      </w:r>
    </w:p>
    <w:p w:rsidR="00000000" w:rsidDel="00000000" w:rsidP="00000000" w:rsidRDefault="00000000" w:rsidRPr="00000000" w14:paraId="0000000E">
      <w:pP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r>
    </w:p>
    <w:p w:rsidR="00000000" w:rsidDel="00000000" w:rsidP="00000000" w:rsidRDefault="00000000" w:rsidRPr="00000000" w14:paraId="0000000F">
      <w:pPr>
        <w:jc w:val="cente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10">
      <w:pP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r>
    </w:p>
    <w:p w:rsidR="00000000" w:rsidDel="00000000" w:rsidP="00000000" w:rsidRDefault="00000000" w:rsidRPr="00000000" w14:paraId="00000011">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E-PORTFOOLIO JUHEND NOORSOOTÖÖTAJA KUTSE, TASE 6 TAOTLEMISEKS/TAASTÕENDAMISEKS</w:t>
      </w:r>
    </w:p>
    <w:p w:rsidR="00000000" w:rsidDel="00000000" w:rsidP="00000000" w:rsidRDefault="00000000" w:rsidRPr="00000000" w14:paraId="00000012">
      <w:pPr>
        <w:jc w:val="cente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13">
      <w:pPr>
        <w:jc w:val="cente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14">
      <w:pPr>
        <w:jc w:val="cente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15">
      <w:pPr>
        <w:jc w:val="cente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16">
      <w:pPr>
        <w:jc w:val="cente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17">
      <w:pPr>
        <w:jc w:val="cente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18">
      <w:pPr>
        <w:jc w:val="cente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19">
      <w:pPr>
        <w:jc w:val="cente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1A">
      <w:pPr>
        <w:jc w:val="cente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1B">
      <w:pPr>
        <w:jc w:val="cente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1C">
      <w:pPr>
        <w:jc w:val="cente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1D">
      <w:pPr>
        <w:jc w:val="cente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1E">
      <w:pPr>
        <w:jc w:val="cente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1F">
      <w:pPr>
        <w:jc w:val="cente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20">
      <w:pPr>
        <w:jc w:val="cente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21">
      <w:pPr>
        <w:jc w:val="cente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22">
      <w:pPr>
        <w:jc w:val="cente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23">
      <w:pPr>
        <w:jc w:val="cente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24">
      <w:pP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2025</w:t>
      </w:r>
    </w:p>
    <w:p w:rsidR="00000000" w:rsidDel="00000000" w:rsidP="00000000" w:rsidRDefault="00000000" w:rsidRPr="00000000" w14:paraId="00000025">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Käesolev e-portfoolio ehk eneseanalüüsi juhend aitab sul koostada e-portfoolio nii noorsootöötaja kutse esmakordseks taotlemiseks kui ka taastõendamiseks. Enne taotlema asumist palun tutvu vastava noorsootöötaja kutsestandardiga, mida soovid taotlema/taastõendama hakata. Kutsestandardi läbitöötamine enne taotlemist on vajalik ning hindamiskomisjonil on õigus esitada taotlejale kutsestandardi kohta küsimusi.</w:t>
      </w:r>
    </w:p>
    <w:p w:rsidR="00000000" w:rsidDel="00000000" w:rsidP="00000000" w:rsidRDefault="00000000" w:rsidRPr="00000000" w14:paraId="00000026">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27">
      <w:pPr>
        <w:jc w:val="both"/>
        <w:rPr>
          <w:rFonts w:ascii="Times New Roman" w:cs="Times New Roman" w:eastAsia="Times New Roman" w:hAnsi="Times New Roman"/>
          <w:sz w:val="26"/>
          <w:szCs w:val="26"/>
        </w:rPr>
      </w:pPr>
      <w:hyperlink r:id="rId6">
        <w:r w:rsidDel="00000000" w:rsidR="00000000" w:rsidRPr="00000000">
          <w:rPr>
            <w:rFonts w:ascii="Times New Roman" w:cs="Times New Roman" w:eastAsia="Times New Roman" w:hAnsi="Times New Roman"/>
            <w:color w:val="1155cc"/>
            <w:sz w:val="26"/>
            <w:szCs w:val="26"/>
            <w:u w:val="single"/>
            <w:rtl w:val="0"/>
          </w:rPr>
          <w:t xml:space="preserve">Noorsootöötaja, tase 5 kutsestandard</w:t>
        </w:r>
      </w:hyperlink>
      <w:r w:rsidDel="00000000" w:rsidR="00000000" w:rsidRPr="00000000">
        <w:rPr>
          <w:rtl w:val="0"/>
        </w:rPr>
      </w:r>
    </w:p>
    <w:p w:rsidR="00000000" w:rsidDel="00000000" w:rsidP="00000000" w:rsidRDefault="00000000" w:rsidRPr="00000000" w14:paraId="00000028">
      <w:pPr>
        <w:jc w:val="both"/>
        <w:rPr>
          <w:rFonts w:ascii="Times New Roman" w:cs="Times New Roman" w:eastAsia="Times New Roman" w:hAnsi="Times New Roman"/>
          <w:sz w:val="26"/>
          <w:szCs w:val="26"/>
        </w:rPr>
      </w:pPr>
      <w:hyperlink r:id="rId7">
        <w:r w:rsidDel="00000000" w:rsidR="00000000" w:rsidRPr="00000000">
          <w:rPr>
            <w:rFonts w:ascii="Times New Roman" w:cs="Times New Roman" w:eastAsia="Times New Roman" w:hAnsi="Times New Roman"/>
            <w:color w:val="1155cc"/>
            <w:sz w:val="26"/>
            <w:szCs w:val="26"/>
            <w:u w:val="single"/>
            <w:rtl w:val="0"/>
          </w:rPr>
          <w:t xml:space="preserve">Noorsootöötaja, tase 6 kutsestandard</w:t>
        </w:r>
      </w:hyperlink>
      <w:r w:rsidDel="00000000" w:rsidR="00000000" w:rsidRPr="00000000">
        <w:rPr>
          <w:rtl w:val="0"/>
        </w:rPr>
      </w:r>
    </w:p>
    <w:p w:rsidR="00000000" w:rsidDel="00000000" w:rsidP="00000000" w:rsidRDefault="00000000" w:rsidRPr="00000000" w14:paraId="00000029">
      <w:pPr>
        <w:jc w:val="both"/>
        <w:rPr>
          <w:rFonts w:ascii="Times New Roman" w:cs="Times New Roman" w:eastAsia="Times New Roman" w:hAnsi="Times New Roman"/>
          <w:sz w:val="26"/>
          <w:szCs w:val="26"/>
        </w:rPr>
      </w:pPr>
      <w:hyperlink r:id="rId8">
        <w:r w:rsidDel="00000000" w:rsidR="00000000" w:rsidRPr="00000000">
          <w:rPr>
            <w:rFonts w:ascii="Times New Roman" w:cs="Times New Roman" w:eastAsia="Times New Roman" w:hAnsi="Times New Roman"/>
            <w:color w:val="1155cc"/>
            <w:sz w:val="26"/>
            <w:szCs w:val="26"/>
            <w:u w:val="single"/>
            <w:rtl w:val="0"/>
          </w:rPr>
          <w:t xml:space="preserve">Noorsootööjuht, tase 7 kutsestandard</w:t>
        </w:r>
      </w:hyperlink>
      <w:r w:rsidDel="00000000" w:rsidR="00000000" w:rsidRPr="00000000">
        <w:rPr>
          <w:rtl w:val="0"/>
        </w:rPr>
      </w:r>
    </w:p>
    <w:p w:rsidR="00000000" w:rsidDel="00000000" w:rsidP="00000000" w:rsidRDefault="00000000" w:rsidRPr="00000000" w14:paraId="0000002A">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2B">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Lisküsimuste korral võta ühendust Eesti Noorsootöötajate Koguga meiliaadressil </w:t>
      </w:r>
      <w:hyperlink r:id="rId9">
        <w:r w:rsidDel="00000000" w:rsidR="00000000" w:rsidRPr="00000000">
          <w:rPr>
            <w:rFonts w:ascii="Times New Roman" w:cs="Times New Roman" w:eastAsia="Times New Roman" w:hAnsi="Times New Roman"/>
            <w:color w:val="1155cc"/>
            <w:sz w:val="26"/>
            <w:szCs w:val="26"/>
            <w:u w:val="single"/>
            <w:rtl w:val="0"/>
          </w:rPr>
          <w:t xml:space="preserve">kutse@enk.ee</w:t>
        </w:r>
      </w:hyperlink>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2C">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2D">
      <w:pPr>
        <w:jc w:val="both"/>
        <w:rPr>
          <w:rFonts w:ascii="Times New Roman" w:cs="Times New Roman" w:eastAsia="Times New Roman" w:hAnsi="Times New Roman"/>
          <w:sz w:val="26"/>
          <w:szCs w:val="26"/>
        </w:rPr>
      </w:pPr>
      <w:r w:rsidDel="00000000" w:rsidR="00000000" w:rsidRPr="00000000">
        <w:br w:type="page"/>
      </w:r>
      <w:r w:rsidDel="00000000" w:rsidR="00000000" w:rsidRPr="00000000">
        <w:rPr>
          <w:rtl w:val="0"/>
        </w:rPr>
      </w:r>
    </w:p>
    <w:p w:rsidR="00000000" w:rsidDel="00000000" w:rsidP="00000000" w:rsidRDefault="00000000" w:rsidRPr="00000000" w14:paraId="0000002E">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Portfoolio eesmärk on koostada eneseanalüüs enda </w:t>
      </w:r>
      <w:r w:rsidDel="00000000" w:rsidR="00000000" w:rsidRPr="00000000">
        <w:rPr>
          <w:rFonts w:ascii="Times New Roman" w:cs="Times New Roman" w:eastAsia="Times New Roman" w:hAnsi="Times New Roman"/>
          <w:b w:val="1"/>
          <w:sz w:val="26"/>
          <w:szCs w:val="26"/>
          <w:rtl w:val="0"/>
        </w:rPr>
        <w:t xml:space="preserve">viimase viie aasta</w:t>
      </w:r>
      <w:r w:rsidDel="00000000" w:rsidR="00000000" w:rsidRPr="00000000">
        <w:rPr>
          <w:rFonts w:ascii="Times New Roman" w:cs="Times New Roman" w:eastAsia="Times New Roman" w:hAnsi="Times New Roman"/>
          <w:sz w:val="26"/>
          <w:szCs w:val="26"/>
          <w:rtl w:val="0"/>
        </w:rPr>
        <w:t xml:space="preserve"> tegevuste kohta noorsootöös (st arvesse läheb nii vabatahtlik töö kui ka palgatöö) ning analüüsida enda kogemusi ja tegevusi </w:t>
      </w:r>
      <w:r w:rsidDel="00000000" w:rsidR="00000000" w:rsidRPr="00000000">
        <w:rPr>
          <w:rFonts w:ascii="Times New Roman" w:cs="Times New Roman" w:eastAsia="Times New Roman" w:hAnsi="Times New Roman"/>
          <w:b w:val="1"/>
          <w:sz w:val="26"/>
          <w:szCs w:val="26"/>
          <w:rtl w:val="0"/>
        </w:rPr>
        <w:t xml:space="preserve">vastavalt kutsestandardi kompetentsidele ja nende tegevusnäitajatele</w:t>
      </w:r>
      <w:r w:rsidDel="00000000" w:rsidR="00000000" w:rsidRPr="00000000">
        <w:rPr>
          <w:rFonts w:ascii="Times New Roman" w:cs="Times New Roman" w:eastAsia="Times New Roman" w:hAnsi="Times New Roman"/>
          <w:sz w:val="26"/>
          <w:szCs w:val="26"/>
          <w:rtl w:val="0"/>
        </w:rPr>
        <w:t xml:space="preserve">. Analüüsi ennast kui noorsootöötajat, mitte kui asutust või meeskonda, kus tegutsed ehk too konkreetselt välja enda roll.</w:t>
      </w:r>
    </w:p>
    <w:p w:rsidR="00000000" w:rsidDel="00000000" w:rsidP="00000000" w:rsidRDefault="00000000" w:rsidRPr="00000000" w14:paraId="0000002F">
      <w:pPr>
        <w:spacing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30">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Portfoolio täitmisel on oluline silmas pidada, et hindamisel soovitakse välja selgitada, kas taotleja on temalt eeldatavate kompetentsi nõuetega tuttav, kas kompetentsi olemasolu on tõendatud ning kas kirjelduse ja tõendusmaterjalide kaudu on kirjeldatud nende kasutamist praktikas (nt meeskonna juhtimisel, tööplaani koostamisel vm).</w:t>
        <w:tab/>
      </w:r>
    </w:p>
    <w:p w:rsidR="00000000" w:rsidDel="00000000" w:rsidP="00000000" w:rsidRDefault="00000000" w:rsidRPr="00000000" w14:paraId="00000031">
      <w:pPr>
        <w:spacing w:before="20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Pööra tähelepanu:</w:t>
      </w:r>
      <w:r w:rsidDel="00000000" w:rsidR="00000000" w:rsidRPr="00000000">
        <w:rPr>
          <w:rtl w:val="0"/>
        </w:rPr>
      </w:r>
    </w:p>
    <w:p w:rsidR="00000000" w:rsidDel="00000000" w:rsidP="00000000" w:rsidRDefault="00000000" w:rsidRPr="00000000" w14:paraId="00000032">
      <w:pPr>
        <w:spacing w:before="20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Igal kutse tasemel on eri eneseanalüüsi vorm.</w:t>
      </w:r>
    </w:p>
    <w:p w:rsidR="00000000" w:rsidDel="00000000" w:rsidP="00000000" w:rsidRDefault="00000000" w:rsidRPr="00000000" w14:paraId="00000033">
      <w:pPr>
        <w:numPr>
          <w:ilvl w:val="0"/>
          <w:numId w:val="1"/>
        </w:numPr>
        <w:spacing w:after="0" w:before="200" w:line="360" w:lineRule="auto"/>
        <w:ind w:left="720" w:hanging="360"/>
        <w:jc w:val="both"/>
        <w:rPr>
          <w:rFonts w:ascii="Times New Roman" w:cs="Times New Roman" w:eastAsia="Times New Roman" w:hAnsi="Times New Roman"/>
          <w:sz w:val="26"/>
          <w:szCs w:val="26"/>
          <w:u w:val="none"/>
        </w:rPr>
      </w:pPr>
      <w:r w:rsidDel="00000000" w:rsidR="00000000" w:rsidRPr="00000000">
        <w:rPr>
          <w:rFonts w:ascii="Times New Roman" w:cs="Times New Roman" w:eastAsia="Times New Roman" w:hAnsi="Times New Roman"/>
          <w:sz w:val="26"/>
          <w:szCs w:val="26"/>
          <w:rtl w:val="0"/>
        </w:rPr>
        <w:t xml:space="preserve">Portfoolio esita vabalt valitud failivormingus (nt pdf, veebileht vm), kuid mitte veebilehena, mis nõuab sisse logimist või jätab muu jälje dokumendi lugemisest  (nt google docs link).</w:t>
      </w:r>
    </w:p>
    <w:p w:rsidR="00000000" w:rsidDel="00000000" w:rsidP="00000000" w:rsidRDefault="00000000" w:rsidRPr="00000000" w14:paraId="00000034">
      <w:pPr>
        <w:numPr>
          <w:ilvl w:val="0"/>
          <w:numId w:val="1"/>
        </w:numPr>
        <w:spacing w:after="0" w:before="200" w:line="360" w:lineRule="auto"/>
        <w:ind w:left="720" w:hanging="360"/>
        <w:jc w:val="both"/>
        <w:rPr>
          <w:rFonts w:ascii="Times New Roman" w:cs="Times New Roman" w:eastAsia="Times New Roman" w:hAnsi="Times New Roman"/>
          <w:sz w:val="26"/>
          <w:szCs w:val="26"/>
          <w:u w:val="none"/>
        </w:rPr>
      </w:pPr>
      <w:r w:rsidDel="00000000" w:rsidR="00000000" w:rsidRPr="00000000">
        <w:rPr>
          <w:rFonts w:ascii="Times New Roman" w:cs="Times New Roman" w:eastAsia="Times New Roman" w:hAnsi="Times New Roman"/>
          <w:sz w:val="26"/>
          <w:szCs w:val="26"/>
          <w:rtl w:val="0"/>
        </w:rPr>
        <w:t xml:space="preserve">Kõik portfoolio osad on kohustuslikud ning eneseanalüüsi osa peab olema eristatud.</w:t>
      </w:r>
    </w:p>
    <w:p w:rsidR="00000000" w:rsidDel="00000000" w:rsidP="00000000" w:rsidRDefault="00000000" w:rsidRPr="00000000" w14:paraId="00000035">
      <w:pPr>
        <w:numPr>
          <w:ilvl w:val="0"/>
          <w:numId w:val="1"/>
        </w:numPr>
        <w:spacing w:after="0" w:before="200" w:line="360" w:lineRule="auto"/>
        <w:ind w:left="720" w:hanging="360"/>
        <w:jc w:val="both"/>
        <w:rPr>
          <w:rFonts w:ascii="Times New Roman" w:cs="Times New Roman" w:eastAsia="Times New Roman" w:hAnsi="Times New Roman"/>
          <w:sz w:val="26"/>
          <w:szCs w:val="26"/>
          <w:u w:val="none"/>
        </w:rPr>
      </w:pPr>
      <w:r w:rsidDel="00000000" w:rsidR="00000000" w:rsidRPr="00000000">
        <w:rPr>
          <w:rFonts w:ascii="Times New Roman" w:cs="Times New Roman" w:eastAsia="Times New Roman" w:hAnsi="Times New Roman"/>
          <w:sz w:val="26"/>
          <w:szCs w:val="26"/>
          <w:rtl w:val="0"/>
        </w:rPr>
        <w:t xml:space="preserve">25 % igast kompetentsist võib tõendada erinevas vormis tõendusmaterjaliga (nt fotod, videod jne). Koosta hindamiskomisjoni liikmetele juhend kui tõendusmaterjal ei asu eneseanalüüsi vormis.</w:t>
      </w:r>
    </w:p>
    <w:p w:rsidR="00000000" w:rsidDel="00000000" w:rsidP="00000000" w:rsidRDefault="00000000" w:rsidRPr="00000000" w14:paraId="00000036">
      <w:pPr>
        <w:numPr>
          <w:ilvl w:val="0"/>
          <w:numId w:val="1"/>
        </w:numPr>
        <w:spacing w:after="0" w:before="200" w:line="360" w:lineRule="auto"/>
        <w:ind w:left="720" w:hanging="360"/>
        <w:jc w:val="both"/>
        <w:rPr>
          <w:rFonts w:ascii="Times New Roman" w:cs="Times New Roman" w:eastAsia="Times New Roman" w:hAnsi="Times New Roman"/>
          <w:sz w:val="26"/>
          <w:szCs w:val="26"/>
          <w:u w:val="none"/>
        </w:rPr>
      </w:pPr>
      <w:r w:rsidDel="00000000" w:rsidR="00000000" w:rsidRPr="00000000">
        <w:rPr>
          <w:rFonts w:ascii="Times New Roman" w:cs="Times New Roman" w:eastAsia="Times New Roman" w:hAnsi="Times New Roman"/>
          <w:sz w:val="26"/>
          <w:szCs w:val="26"/>
          <w:rtl w:val="0"/>
        </w:rPr>
        <w:t xml:space="preserve">Kui taotlejal on olemas osakutse tase 5, siis ei pea portfoolios eraldi tõendama turvalise keskkonna tagamise ja üldoskuste  kompetentsi. Vastava taseme osakutse (tase 6 osakutse) olemasolul ka juhtimise kompetentsi. Oluline on lisada portfooliosse tõendusmaterjalina osakutse tunnistus või link kutseregistrist.</w:t>
      </w:r>
    </w:p>
    <w:p w:rsidR="00000000" w:rsidDel="00000000" w:rsidP="00000000" w:rsidRDefault="00000000" w:rsidRPr="00000000" w14:paraId="00000037">
      <w:pPr>
        <w:numPr>
          <w:ilvl w:val="0"/>
          <w:numId w:val="1"/>
        </w:numPr>
        <w:spacing w:after="0" w:before="200" w:line="360" w:lineRule="auto"/>
        <w:ind w:left="720" w:hanging="360"/>
        <w:jc w:val="both"/>
        <w:rPr>
          <w:rFonts w:ascii="Times New Roman" w:cs="Times New Roman" w:eastAsia="Times New Roman" w:hAnsi="Times New Roman"/>
          <w:sz w:val="26"/>
          <w:szCs w:val="26"/>
          <w:u w:val="none"/>
        </w:rPr>
      </w:pPr>
      <w:r w:rsidDel="00000000" w:rsidR="00000000" w:rsidRPr="00000000">
        <w:rPr>
          <w:rFonts w:ascii="Times New Roman" w:cs="Times New Roman" w:eastAsia="Times New Roman" w:hAnsi="Times New Roman"/>
          <w:sz w:val="26"/>
          <w:szCs w:val="26"/>
          <w:rtl w:val="0"/>
        </w:rPr>
        <w:t xml:space="preserve">Eneseanalüüsi põhjale on lubatud loominguliselt läheneda ehk vajadusel võib taotleja e-portfoolios kompetentside järjekorda või ülesehitust muuta ning kirjeldada enda kogemusi väljaspool etteantud tabelit, kuid iga kompetentsi juures tuleb tõendada kõik tegevusnäitajad, mis on loetletud vastavas kutsestandardis.</w:t>
      </w:r>
    </w:p>
    <w:p w:rsidR="00000000" w:rsidDel="00000000" w:rsidP="00000000" w:rsidRDefault="00000000" w:rsidRPr="00000000" w14:paraId="00000038">
      <w:pPr>
        <w:numPr>
          <w:ilvl w:val="0"/>
          <w:numId w:val="1"/>
        </w:numPr>
        <w:spacing w:before="200" w:line="360" w:lineRule="auto"/>
        <w:ind w:left="720" w:hanging="360"/>
        <w:jc w:val="both"/>
        <w:rPr>
          <w:rFonts w:ascii="Times New Roman" w:cs="Times New Roman" w:eastAsia="Times New Roman" w:hAnsi="Times New Roman"/>
          <w:sz w:val="26"/>
          <w:szCs w:val="26"/>
          <w:u w:val="none"/>
        </w:rPr>
      </w:pPr>
      <w:r w:rsidDel="00000000" w:rsidR="00000000" w:rsidRPr="00000000">
        <w:rPr>
          <w:rFonts w:ascii="Times New Roman" w:cs="Times New Roman" w:eastAsia="Times New Roman" w:hAnsi="Times New Roman"/>
          <w:sz w:val="26"/>
          <w:szCs w:val="26"/>
          <w:rtl w:val="0"/>
        </w:rPr>
        <w:t xml:space="preserve">Eneseanalüüsi koostades on oluline kirjeldada konkreetseid olukordi ning tuua näiteid. Näiteks kui tegevusnäitaja kirjeldab noorte huvide ja vajaduste välja selgitamist, siis kutse taotleja toob enda portfoolios välja, kuidas ta selgitab välja noorte huvid ja vajadused, sh milliseid meetodeid selleks kasutab.</w:t>
      </w:r>
    </w:p>
    <w:p w:rsidR="00000000" w:rsidDel="00000000" w:rsidP="00000000" w:rsidRDefault="00000000" w:rsidRPr="00000000" w14:paraId="00000039">
      <w:pPr>
        <w:spacing w:line="360" w:lineRule="auto"/>
        <w:ind w:left="0" w:firstLine="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3A">
      <w:pPr>
        <w:spacing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Dokumendid, millega peab kutse taotleja/taastõendaja olema tuttav ning mille kasutamisele (sh dokumentide põhimõtted)  viitama enda portfoolios:</w:t>
      </w:r>
    </w:p>
    <w:p w:rsidR="00000000" w:rsidDel="00000000" w:rsidP="00000000" w:rsidRDefault="00000000" w:rsidRPr="00000000" w14:paraId="0000003B">
      <w:pPr>
        <w:numPr>
          <w:ilvl w:val="0"/>
          <w:numId w:val="5"/>
        </w:numPr>
        <w:spacing w:line="360" w:lineRule="auto"/>
        <w:ind w:left="720" w:hanging="360"/>
        <w:jc w:val="both"/>
        <w:rPr>
          <w:rFonts w:ascii="Times New Roman" w:cs="Times New Roman" w:eastAsia="Times New Roman" w:hAnsi="Times New Roman"/>
          <w:sz w:val="26"/>
          <w:szCs w:val="26"/>
          <w:u w:val="none"/>
        </w:rPr>
      </w:pPr>
      <w:hyperlink r:id="rId10">
        <w:r w:rsidDel="00000000" w:rsidR="00000000" w:rsidRPr="00000000">
          <w:rPr>
            <w:rFonts w:ascii="Times New Roman" w:cs="Times New Roman" w:eastAsia="Times New Roman" w:hAnsi="Times New Roman"/>
            <w:color w:val="1155cc"/>
            <w:sz w:val="26"/>
            <w:szCs w:val="26"/>
            <w:u w:val="single"/>
            <w:rtl w:val="0"/>
          </w:rPr>
          <w:t xml:space="preserve">Noorsootöö seadus</w:t>
        </w:r>
      </w:hyperlink>
      <w:r w:rsidDel="00000000" w:rsidR="00000000" w:rsidRPr="00000000">
        <w:rPr>
          <w:rFonts w:ascii="Times New Roman" w:cs="Times New Roman" w:eastAsia="Times New Roman" w:hAnsi="Times New Roman"/>
          <w:sz w:val="26"/>
          <w:szCs w:val="26"/>
          <w:rtl w:val="0"/>
        </w:rPr>
        <w:t xml:space="preserve">;</w:t>
      </w:r>
    </w:p>
    <w:p w:rsidR="00000000" w:rsidDel="00000000" w:rsidP="00000000" w:rsidRDefault="00000000" w:rsidRPr="00000000" w14:paraId="0000003C">
      <w:pPr>
        <w:numPr>
          <w:ilvl w:val="0"/>
          <w:numId w:val="5"/>
        </w:numPr>
        <w:spacing w:line="360" w:lineRule="auto"/>
        <w:ind w:left="720" w:hanging="360"/>
        <w:jc w:val="both"/>
        <w:rPr>
          <w:rFonts w:ascii="Times New Roman" w:cs="Times New Roman" w:eastAsia="Times New Roman" w:hAnsi="Times New Roman"/>
          <w:sz w:val="26"/>
          <w:szCs w:val="26"/>
          <w:u w:val="none"/>
        </w:rPr>
      </w:pPr>
      <w:hyperlink r:id="rId11">
        <w:r w:rsidDel="00000000" w:rsidR="00000000" w:rsidRPr="00000000">
          <w:rPr>
            <w:rFonts w:ascii="Times New Roman" w:cs="Times New Roman" w:eastAsia="Times New Roman" w:hAnsi="Times New Roman"/>
            <w:color w:val="1155cc"/>
            <w:sz w:val="26"/>
            <w:szCs w:val="26"/>
            <w:u w:val="single"/>
            <w:rtl w:val="0"/>
          </w:rPr>
          <w:t xml:space="preserve">Vastava taseme noorsootöötaja kutsestandard</w:t>
        </w:r>
      </w:hyperlink>
      <w:r w:rsidDel="00000000" w:rsidR="00000000" w:rsidRPr="00000000">
        <w:rPr>
          <w:rFonts w:ascii="Times New Roman" w:cs="Times New Roman" w:eastAsia="Times New Roman" w:hAnsi="Times New Roman"/>
          <w:sz w:val="26"/>
          <w:szCs w:val="26"/>
          <w:rtl w:val="0"/>
        </w:rPr>
        <w:t xml:space="preserve">;</w:t>
      </w:r>
    </w:p>
    <w:p w:rsidR="00000000" w:rsidDel="00000000" w:rsidP="00000000" w:rsidRDefault="00000000" w:rsidRPr="00000000" w14:paraId="0000003D">
      <w:pPr>
        <w:numPr>
          <w:ilvl w:val="0"/>
          <w:numId w:val="5"/>
        </w:numPr>
        <w:spacing w:line="360" w:lineRule="auto"/>
        <w:ind w:left="720" w:hanging="360"/>
        <w:jc w:val="both"/>
        <w:rPr>
          <w:rFonts w:ascii="Times New Roman" w:cs="Times New Roman" w:eastAsia="Times New Roman" w:hAnsi="Times New Roman"/>
          <w:sz w:val="26"/>
          <w:szCs w:val="26"/>
          <w:u w:val="none"/>
        </w:rPr>
      </w:pPr>
      <w:hyperlink r:id="rId12">
        <w:r w:rsidDel="00000000" w:rsidR="00000000" w:rsidRPr="00000000">
          <w:rPr>
            <w:rFonts w:ascii="Times New Roman" w:cs="Times New Roman" w:eastAsia="Times New Roman" w:hAnsi="Times New Roman"/>
            <w:color w:val="1155cc"/>
            <w:sz w:val="26"/>
            <w:szCs w:val="26"/>
            <w:u w:val="single"/>
            <w:rtl w:val="0"/>
          </w:rPr>
          <w:t xml:space="preserve">Noorsootöötaja kutse-eetika</w:t>
        </w:r>
      </w:hyperlink>
      <w:r w:rsidDel="00000000" w:rsidR="00000000" w:rsidRPr="00000000">
        <w:rPr>
          <w:rFonts w:ascii="Times New Roman" w:cs="Times New Roman" w:eastAsia="Times New Roman" w:hAnsi="Times New Roman"/>
          <w:sz w:val="26"/>
          <w:szCs w:val="26"/>
          <w:rtl w:val="0"/>
        </w:rPr>
        <w:t xml:space="preserve">;</w:t>
      </w:r>
    </w:p>
    <w:p w:rsidR="00000000" w:rsidDel="00000000" w:rsidP="00000000" w:rsidRDefault="00000000" w:rsidRPr="00000000" w14:paraId="0000003E">
      <w:pPr>
        <w:numPr>
          <w:ilvl w:val="0"/>
          <w:numId w:val="5"/>
        </w:numPr>
        <w:spacing w:line="360" w:lineRule="auto"/>
        <w:ind w:left="720" w:hanging="360"/>
        <w:jc w:val="both"/>
        <w:rPr>
          <w:rFonts w:ascii="Times New Roman" w:cs="Times New Roman" w:eastAsia="Times New Roman" w:hAnsi="Times New Roman"/>
          <w:sz w:val="26"/>
          <w:szCs w:val="26"/>
          <w:u w:val="none"/>
        </w:rPr>
      </w:pPr>
      <w:hyperlink r:id="rId13">
        <w:r w:rsidDel="00000000" w:rsidR="00000000" w:rsidRPr="00000000">
          <w:rPr>
            <w:rFonts w:ascii="Times New Roman" w:cs="Times New Roman" w:eastAsia="Times New Roman" w:hAnsi="Times New Roman"/>
            <w:color w:val="1155cc"/>
            <w:sz w:val="26"/>
            <w:szCs w:val="26"/>
            <w:u w:val="single"/>
            <w:rtl w:val="0"/>
          </w:rPr>
          <w:t xml:space="preserve">Noorsootöötaja kutse andmise kord</w:t>
        </w:r>
      </w:hyperlink>
      <w:r w:rsidDel="00000000" w:rsidR="00000000" w:rsidRPr="00000000">
        <w:rPr>
          <w:rFonts w:ascii="Times New Roman" w:cs="Times New Roman" w:eastAsia="Times New Roman" w:hAnsi="Times New Roman"/>
          <w:sz w:val="26"/>
          <w:szCs w:val="26"/>
          <w:rtl w:val="0"/>
        </w:rPr>
        <w:t xml:space="preserve">;</w:t>
      </w:r>
    </w:p>
    <w:p w:rsidR="00000000" w:rsidDel="00000000" w:rsidP="00000000" w:rsidRDefault="00000000" w:rsidRPr="00000000" w14:paraId="0000003F">
      <w:pPr>
        <w:numPr>
          <w:ilvl w:val="0"/>
          <w:numId w:val="5"/>
        </w:numPr>
        <w:spacing w:line="360" w:lineRule="auto"/>
        <w:ind w:left="720" w:hanging="360"/>
        <w:jc w:val="both"/>
        <w:rPr>
          <w:rFonts w:ascii="Times New Roman" w:cs="Times New Roman" w:eastAsia="Times New Roman" w:hAnsi="Times New Roman"/>
          <w:sz w:val="26"/>
          <w:szCs w:val="26"/>
          <w:u w:val="none"/>
        </w:rPr>
      </w:pPr>
      <w:hyperlink r:id="rId14">
        <w:r w:rsidDel="00000000" w:rsidR="00000000" w:rsidRPr="00000000">
          <w:rPr>
            <w:rFonts w:ascii="Times New Roman" w:cs="Times New Roman" w:eastAsia="Times New Roman" w:hAnsi="Times New Roman"/>
            <w:color w:val="1155cc"/>
            <w:sz w:val="26"/>
            <w:szCs w:val="26"/>
            <w:u w:val="single"/>
            <w:rtl w:val="0"/>
          </w:rPr>
          <w:t xml:space="preserve">Ringkiri noorte-ja püsilaagrite koosseisu kohta</w:t>
        </w:r>
      </w:hyperlink>
      <w:r w:rsidDel="00000000" w:rsidR="00000000" w:rsidRPr="00000000">
        <w:rPr>
          <w:rFonts w:ascii="Times New Roman" w:cs="Times New Roman" w:eastAsia="Times New Roman" w:hAnsi="Times New Roman"/>
          <w:sz w:val="26"/>
          <w:szCs w:val="26"/>
          <w:rtl w:val="0"/>
        </w:rPr>
        <w:t xml:space="preserve">;</w:t>
      </w:r>
    </w:p>
    <w:p w:rsidR="00000000" w:rsidDel="00000000" w:rsidP="00000000" w:rsidRDefault="00000000" w:rsidRPr="00000000" w14:paraId="00000040">
      <w:pPr>
        <w:numPr>
          <w:ilvl w:val="0"/>
          <w:numId w:val="5"/>
        </w:numPr>
        <w:spacing w:line="360" w:lineRule="auto"/>
        <w:ind w:left="720" w:hanging="360"/>
        <w:jc w:val="both"/>
        <w:rPr>
          <w:rFonts w:ascii="Times New Roman" w:cs="Times New Roman" w:eastAsia="Times New Roman" w:hAnsi="Times New Roman"/>
          <w:sz w:val="26"/>
          <w:szCs w:val="26"/>
          <w:u w:val="none"/>
        </w:rPr>
      </w:pPr>
      <w:hyperlink r:id="rId15">
        <w:r w:rsidDel="00000000" w:rsidR="00000000" w:rsidRPr="00000000">
          <w:rPr>
            <w:rFonts w:ascii="Times New Roman" w:cs="Times New Roman" w:eastAsia="Times New Roman" w:hAnsi="Times New Roman"/>
            <w:color w:val="1155cc"/>
            <w:sz w:val="26"/>
            <w:szCs w:val="26"/>
            <w:u w:val="single"/>
            <w:rtl w:val="0"/>
          </w:rPr>
          <w:t xml:space="preserve">Hindamise korraldamise juhend</w:t>
        </w:r>
      </w:hyperlink>
      <w:r w:rsidDel="00000000" w:rsidR="00000000" w:rsidRPr="00000000">
        <w:rPr>
          <w:rFonts w:ascii="Times New Roman" w:cs="Times New Roman" w:eastAsia="Times New Roman" w:hAnsi="Times New Roman"/>
          <w:sz w:val="26"/>
          <w:szCs w:val="26"/>
          <w:rtl w:val="0"/>
        </w:rPr>
        <w:t xml:space="preserve">.</w:t>
      </w:r>
    </w:p>
    <w:p w:rsidR="00000000" w:rsidDel="00000000" w:rsidP="00000000" w:rsidRDefault="00000000" w:rsidRPr="00000000" w14:paraId="00000041">
      <w:pPr>
        <w:spacing w:line="360" w:lineRule="auto"/>
        <w:jc w:val="both"/>
        <w:rPr>
          <w:rFonts w:ascii="Times New Roman" w:cs="Times New Roman" w:eastAsia="Times New Roman" w:hAnsi="Times New Roman"/>
          <w:sz w:val="26"/>
          <w:szCs w:val="26"/>
        </w:rPr>
      </w:pPr>
      <w:r w:rsidDel="00000000" w:rsidR="00000000" w:rsidRPr="00000000">
        <w:br w:type="page"/>
      </w:r>
      <w:r w:rsidDel="00000000" w:rsidR="00000000" w:rsidRPr="00000000">
        <w:rPr>
          <w:rtl w:val="0"/>
        </w:rPr>
      </w:r>
    </w:p>
    <w:p w:rsidR="00000000" w:rsidDel="00000000" w:rsidP="00000000" w:rsidRDefault="00000000" w:rsidRPr="00000000" w14:paraId="00000042">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E-PORTFOOLIO VORM</w:t>
      </w: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43">
      <w:pPr>
        <w:spacing w:line="360" w:lineRule="auto"/>
        <w:jc w:val="both"/>
        <w:rPr>
          <w:rFonts w:ascii="Times New Roman" w:cs="Times New Roman" w:eastAsia="Times New Roman" w:hAnsi="Times New Roman"/>
          <w:sz w:val="26"/>
          <w:szCs w:val="26"/>
        </w:rPr>
      </w:pPr>
      <w:hyperlink r:id="rId16">
        <w:r w:rsidDel="00000000" w:rsidR="00000000" w:rsidRPr="00000000">
          <w:rPr>
            <w:rFonts w:ascii="Times New Roman" w:cs="Times New Roman" w:eastAsia="Times New Roman" w:hAnsi="Times New Roman"/>
            <w:color w:val="1155cc"/>
            <w:sz w:val="26"/>
            <w:szCs w:val="26"/>
            <w:u w:val="single"/>
            <w:rtl w:val="0"/>
          </w:rPr>
          <w:t xml:space="preserve">NOORSOOTÖÖTAJA, TASE 6 KUTSE ESMAKORDNE JA TAASTÕENDAMINE</w:t>
        </w:r>
      </w:hyperlink>
      <w:r w:rsidDel="00000000" w:rsidR="00000000" w:rsidRPr="00000000">
        <w:rPr>
          <w:rtl w:val="0"/>
        </w:rPr>
      </w:r>
    </w:p>
    <w:p w:rsidR="00000000" w:rsidDel="00000000" w:rsidP="00000000" w:rsidRDefault="00000000" w:rsidRPr="00000000" w14:paraId="00000044">
      <w:pPr>
        <w:spacing w:line="360" w:lineRule="auto"/>
        <w:jc w:val="both"/>
        <w:rPr>
          <w:rFonts w:ascii="Times New Roman" w:cs="Times New Roman" w:eastAsia="Times New Roman" w:hAnsi="Times New Roman"/>
          <w:sz w:val="26"/>
          <w:szCs w:val="26"/>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Nimi:</w:t>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6"/>
                <w:szCs w:val="2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E-post:</w:t>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6"/>
                <w:szCs w:val="2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Mida taotlen/taastõendan?</w:t>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i w:val="1"/>
                <w:color w:val="434343"/>
                <w:sz w:val="24"/>
                <w:szCs w:val="24"/>
              </w:rPr>
            </w:pPr>
            <w:r w:rsidDel="00000000" w:rsidR="00000000" w:rsidRPr="00000000">
              <w:rPr>
                <w:rFonts w:ascii="Times New Roman" w:cs="Times New Roman" w:eastAsia="Times New Roman" w:hAnsi="Times New Roman"/>
                <w:i w:val="1"/>
                <w:color w:val="434343"/>
                <w:sz w:val="24"/>
                <w:szCs w:val="24"/>
                <w:rtl w:val="0"/>
              </w:rPr>
              <w:t xml:space="preserve">Tase 6 noorsootöötaja kutse esmakordne taotlemine</w:t>
            </w:r>
          </w:p>
          <w:p w:rsidR="00000000" w:rsidDel="00000000" w:rsidP="00000000" w:rsidRDefault="00000000" w:rsidRPr="00000000" w14:paraId="0000004B">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i w:val="1"/>
                <w:color w:val="434343"/>
                <w:sz w:val="24"/>
                <w:szCs w:val="24"/>
              </w:rPr>
            </w:pPr>
            <w:r w:rsidDel="00000000" w:rsidR="00000000" w:rsidRPr="00000000">
              <w:rPr>
                <w:rFonts w:ascii="Times New Roman" w:cs="Times New Roman" w:eastAsia="Times New Roman" w:hAnsi="Times New Roman"/>
                <w:i w:val="1"/>
                <w:color w:val="434343"/>
                <w:sz w:val="24"/>
                <w:szCs w:val="24"/>
                <w:rtl w:val="0"/>
              </w:rPr>
              <w:t xml:space="preserve">Tase 6 noorsootöötaja kutse taastõendamine</w:t>
            </w:r>
          </w:p>
        </w:tc>
      </w:tr>
    </w:tbl>
    <w:p w:rsidR="00000000" w:rsidDel="00000000" w:rsidP="00000000" w:rsidRDefault="00000000" w:rsidRPr="00000000" w14:paraId="0000004C">
      <w:pPr>
        <w:spacing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4D">
      <w:pPr>
        <w:spacing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4E">
      <w:pPr>
        <w:numPr>
          <w:ilvl w:val="0"/>
          <w:numId w:val="2"/>
        </w:numPr>
        <w:spacing w:line="360" w:lineRule="auto"/>
        <w:ind w:left="720" w:hanging="360"/>
        <w:jc w:val="both"/>
        <w:rPr>
          <w:rFonts w:ascii="Times New Roman" w:cs="Times New Roman" w:eastAsia="Times New Roman" w:hAnsi="Times New Roman"/>
          <w:sz w:val="26"/>
          <w:szCs w:val="26"/>
          <w:u w:val="none"/>
        </w:rPr>
      </w:pPr>
      <w:r w:rsidDel="00000000" w:rsidR="00000000" w:rsidRPr="00000000">
        <w:rPr>
          <w:rFonts w:ascii="Times New Roman" w:cs="Times New Roman" w:eastAsia="Times New Roman" w:hAnsi="Times New Roman"/>
          <w:sz w:val="26"/>
          <w:szCs w:val="26"/>
          <w:rtl w:val="0"/>
        </w:rPr>
        <w:t xml:space="preserve">Kirjeldage lühidalt, milline on teie senine töökogemus/vabatahtliku töö kogemus noortega/noorsootöös viimase viie aasta jooksul?</w:t>
      </w:r>
    </w:p>
    <w:p w:rsidR="00000000" w:rsidDel="00000000" w:rsidP="00000000" w:rsidRDefault="00000000" w:rsidRPr="00000000" w14:paraId="0000004F">
      <w:pPr>
        <w:spacing w:line="360" w:lineRule="auto"/>
        <w:ind w:left="0" w:firstLine="0"/>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Kirjeldus: </w:t>
      </w:r>
    </w:p>
    <w:p w:rsidR="00000000" w:rsidDel="00000000" w:rsidP="00000000" w:rsidRDefault="00000000" w:rsidRPr="00000000" w14:paraId="00000050">
      <w:pPr>
        <w:spacing w:after="200" w:line="480" w:lineRule="auto"/>
        <w:ind w:left="0" w:firstLine="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51">
      <w:pPr>
        <w:numPr>
          <w:ilvl w:val="0"/>
          <w:numId w:val="3"/>
        </w:numPr>
        <w:spacing w:after="200" w:line="360" w:lineRule="auto"/>
        <w:ind w:left="720" w:hanging="360"/>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NOORSOOTÖÖ KORRALDAMINE JA ARENDAMINE (kompetents B.3.1)</w:t>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1"/>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 Osaleb noortevaldkonna arengut suunavate dokumentide koostamises, valdkonna ühenduste ja ekspertgruppide töös ning erialase teadmuse arendamisel õpikogukondades.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3">
            <w:pPr>
              <w:keepNext w:val="0"/>
              <w:keepLines w:val="1"/>
              <w:pageBreakBefore w:val="0"/>
              <w:widowControl w:val="0"/>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i w:val="1"/>
                <w:color w:val="434343"/>
                <w:sz w:val="24"/>
                <w:szCs w:val="24"/>
              </w:rPr>
            </w:pPr>
            <w:r w:rsidDel="00000000" w:rsidR="00000000" w:rsidRPr="00000000">
              <w:rPr>
                <w:rFonts w:ascii="Times New Roman" w:cs="Times New Roman" w:eastAsia="Times New Roman" w:hAnsi="Times New Roman"/>
                <w:i w:val="1"/>
                <w:color w:val="434343"/>
                <w:sz w:val="24"/>
                <w:szCs w:val="24"/>
                <w:rtl w:val="0"/>
              </w:rPr>
              <w:t xml:space="preserve">(tooge portfoolios välja ja kirjeldage, kuidas täidate tegevusnäitajat 1.1)</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1"/>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 Selgitab välja noorte huvid ja vajadused, toetudes aktuaalsetele uuringutele ja suheldes vajadusel noortega. Planeerib tegevuskava lähtuvalt saadud tulemustest kooskõlas valdkonna ja organisatsiooni eesmärkidega ning piirkondlike eripäradega. Kavandab tegevuskava elluviimiseks vajalikud ressursid.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5">
            <w:pPr>
              <w:keepNext w:val="0"/>
              <w:keepLines w:val="1"/>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i w:val="1"/>
                <w:color w:val="434343"/>
                <w:sz w:val="24"/>
                <w:szCs w:val="24"/>
              </w:rPr>
            </w:pPr>
            <w:r w:rsidDel="00000000" w:rsidR="00000000" w:rsidRPr="00000000">
              <w:rPr>
                <w:rFonts w:ascii="Times New Roman" w:cs="Times New Roman" w:eastAsia="Times New Roman" w:hAnsi="Times New Roman"/>
                <w:i w:val="1"/>
                <w:color w:val="434343"/>
                <w:sz w:val="24"/>
                <w:szCs w:val="24"/>
                <w:rtl w:val="0"/>
              </w:rPr>
              <w:t xml:space="preserve">(kirjeldage ja tooge portfoolios konkreetseid näiteid, kuidas täidate tegevusnäitajat 1.2)</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6">
            <w:pPr>
              <w:keepNext w:val="0"/>
              <w:keepLines w:val="1"/>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 Seirab tegevuskava täitmist, tulemuslikkust ja kvaliteeti ning ressursside eesmärgipärast kasutamist. Vajadusel kavandab muudatusi.</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1"/>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i w:val="1"/>
                <w:color w:val="666666"/>
                <w:sz w:val="24"/>
                <w:szCs w:val="24"/>
              </w:rPr>
            </w:pPr>
            <w:r w:rsidDel="00000000" w:rsidR="00000000" w:rsidRPr="00000000">
              <w:rPr>
                <w:rFonts w:ascii="Times New Roman" w:cs="Times New Roman" w:eastAsia="Times New Roman" w:hAnsi="Times New Roman"/>
                <w:i w:val="1"/>
                <w:color w:val="666666"/>
                <w:sz w:val="24"/>
                <w:szCs w:val="24"/>
                <w:rtl w:val="0"/>
              </w:rPr>
              <w:t xml:space="preserve">( kirjeldage ja tooge portfoolios konkreetseid näiteid, kuidas täidate tegevusnäitajat 1.3)</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8">
            <w:pPr>
              <w:keepNext w:val="0"/>
              <w:keepLines w:val="1"/>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 Aitab noortel seada õpieesmärke; kavandab ja/või viib läbi erinevaid mitteformaalse õppe tegevusi; toetab noori õpitulemuste mõtestamisel ja annab edasiviivat tagasisidet.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9">
            <w:pPr>
              <w:keepNext w:val="0"/>
              <w:keepLines w:val="1"/>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i w:val="1"/>
                <w:color w:val="434343"/>
                <w:sz w:val="24"/>
                <w:szCs w:val="24"/>
              </w:rPr>
            </w:pPr>
            <w:r w:rsidDel="00000000" w:rsidR="00000000" w:rsidRPr="00000000">
              <w:rPr>
                <w:rFonts w:ascii="Times New Roman" w:cs="Times New Roman" w:eastAsia="Times New Roman" w:hAnsi="Times New Roman"/>
                <w:i w:val="1"/>
                <w:color w:val="434343"/>
                <w:sz w:val="24"/>
                <w:szCs w:val="24"/>
                <w:rtl w:val="0"/>
              </w:rPr>
              <w:t xml:space="preserve">(kirjeldage ja tooge portfoolios konkreetseid näiteid, kuidas täidate tegevusnäitajat 1.4)</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A">
            <w:pPr>
              <w:keepNext w:val="0"/>
              <w:keepLines w:val="1"/>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 Kavandab ja koordineerib tegevus, mis loovad noortele võimalusi osaleda noorsootöös (sh rahvusvahelises) ja ühiskonnaelus ning toetavad ettevõtlikkust ja omaalgatust.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B">
            <w:pPr>
              <w:keepNext w:val="0"/>
              <w:keepLines w:val="1"/>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color w:val="434343"/>
                <w:sz w:val="26"/>
                <w:szCs w:val="26"/>
              </w:rPr>
            </w:pPr>
            <w:r w:rsidDel="00000000" w:rsidR="00000000" w:rsidRPr="00000000">
              <w:rPr>
                <w:rFonts w:ascii="Times New Roman" w:cs="Times New Roman" w:eastAsia="Times New Roman" w:hAnsi="Times New Roman"/>
                <w:i w:val="1"/>
                <w:color w:val="434343"/>
                <w:sz w:val="24"/>
                <w:szCs w:val="24"/>
                <w:rtl w:val="0"/>
              </w:rPr>
              <w:t xml:space="preserve">(kirjeldage ja tooge portfoolios konkreetseid näiteid, kuidas täidate tegevusnäitajat 1.5)</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C">
            <w:pPr>
              <w:keepNext w:val="0"/>
              <w:keepLines w:val="1"/>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 Osaleb noorte tõrjutuse ennetamiseks mõeldud tegevuste kavandamises ja elluviimises; märkab noorte tõrjutuse riske ja reageerib neile asjakohaselt, kaasates vajadusel spetsialiste; toetab noorte õiguskuulekate hoiakute kujundamist.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D">
            <w:pPr>
              <w:keepNext w:val="0"/>
              <w:keepLines w:val="1"/>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i w:val="1"/>
                <w:color w:val="434343"/>
                <w:sz w:val="24"/>
                <w:szCs w:val="24"/>
              </w:rPr>
            </w:pPr>
            <w:r w:rsidDel="00000000" w:rsidR="00000000" w:rsidRPr="00000000">
              <w:rPr>
                <w:rFonts w:ascii="Times New Roman" w:cs="Times New Roman" w:eastAsia="Times New Roman" w:hAnsi="Times New Roman"/>
                <w:i w:val="1"/>
                <w:color w:val="434343"/>
                <w:sz w:val="24"/>
                <w:szCs w:val="24"/>
                <w:rtl w:val="0"/>
              </w:rPr>
              <w:t xml:space="preserve">(kirjeldage ja tooge portfoolios konkreetseid näiteid, kuidas täidate tegevusnäitajat 1.6)</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E">
            <w:pPr>
              <w:keepNext w:val="0"/>
              <w:keepLines w:val="1"/>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 Osaleb kohaliku tasandi noorteinfo teenuse korraldamises ja selle pakkumises lähtuvalt Euroopa noorteinfo hartast, kaasab võrgustiku liikmeid ja analüüsib tulemusi.</w:t>
            </w:r>
          </w:p>
        </w:tc>
      </w:tr>
      <w:tr>
        <w:trPr>
          <w:cantSplit w:val="0"/>
          <w:trHeight w:val="1552.42675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F">
            <w:pPr>
              <w:keepNext w:val="0"/>
              <w:keepLines w:val="1"/>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i w:val="1"/>
                <w:color w:val="434343"/>
                <w:sz w:val="24"/>
                <w:szCs w:val="24"/>
              </w:rPr>
            </w:pPr>
            <w:r w:rsidDel="00000000" w:rsidR="00000000" w:rsidRPr="00000000">
              <w:rPr>
                <w:rFonts w:ascii="Times New Roman" w:cs="Times New Roman" w:eastAsia="Times New Roman" w:hAnsi="Times New Roman"/>
                <w:i w:val="1"/>
                <w:color w:val="434343"/>
                <w:sz w:val="24"/>
                <w:szCs w:val="24"/>
                <w:rtl w:val="0"/>
              </w:rPr>
              <w:t xml:space="preserve">(kirjeldage ja tooge portfoolios konkreetseid näiteid, kuidas täidate tegevusnäitajat 1.7)</w:t>
            </w:r>
          </w:p>
          <w:p w:rsidR="00000000" w:rsidDel="00000000" w:rsidP="00000000" w:rsidRDefault="00000000" w:rsidRPr="00000000" w14:paraId="00000060">
            <w:pPr>
              <w:keepNext w:val="0"/>
              <w:keepLines w:val="1"/>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6"/>
                <w:szCs w:val="2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1">
            <w:pPr>
              <w:keepNext w:val="0"/>
              <w:keepLines w:val="1"/>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 Viib läbi noorte esmast nõustamist, sh pakub vaimse tervise esmaabi; hindab noore vajadust erialaspetsialisti kaasamiseks ja toetab noort erialaspetsialisti poole pöördumisel; teeb juhtumite asjus koostööd seotud osapooltega.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2">
            <w:pPr>
              <w:keepLines w:val="1"/>
              <w:widowControl w:val="0"/>
              <w:spacing w:line="360" w:lineRule="auto"/>
              <w:rPr>
                <w:rFonts w:ascii="Times New Roman" w:cs="Times New Roman" w:eastAsia="Times New Roman" w:hAnsi="Times New Roman"/>
                <w:i w:val="1"/>
                <w:color w:val="434343"/>
                <w:sz w:val="24"/>
                <w:szCs w:val="24"/>
              </w:rPr>
            </w:pPr>
            <w:r w:rsidDel="00000000" w:rsidR="00000000" w:rsidRPr="00000000">
              <w:rPr>
                <w:rFonts w:ascii="Times New Roman" w:cs="Times New Roman" w:eastAsia="Times New Roman" w:hAnsi="Times New Roman"/>
                <w:i w:val="1"/>
                <w:color w:val="434343"/>
                <w:sz w:val="24"/>
                <w:szCs w:val="24"/>
                <w:rtl w:val="0"/>
              </w:rPr>
              <w:t xml:space="preserve">(kirjeldage ja tooge portfoolios konkreetseid näiteid, kuidas täidate tegevusnäitajat 1.8)</w:t>
            </w:r>
          </w:p>
          <w:p w:rsidR="00000000" w:rsidDel="00000000" w:rsidP="00000000" w:rsidRDefault="00000000" w:rsidRPr="00000000" w14:paraId="00000063">
            <w:pPr>
              <w:keepNext w:val="0"/>
              <w:keepLines w:val="1"/>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i w:val="1"/>
                <w:color w:val="434343"/>
                <w:sz w:val="24"/>
                <w:szCs w:val="24"/>
              </w:rPr>
            </w:pPr>
            <w:r w:rsidDel="00000000" w:rsidR="00000000" w:rsidRPr="00000000">
              <w:rPr>
                <w:rtl w:val="0"/>
              </w:rPr>
            </w:r>
          </w:p>
          <w:p w:rsidR="00000000" w:rsidDel="00000000" w:rsidP="00000000" w:rsidRDefault="00000000" w:rsidRPr="00000000" w14:paraId="00000064">
            <w:pPr>
              <w:keepNext w:val="0"/>
              <w:keepLines w:val="1"/>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6"/>
                <w:szCs w:val="2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5">
            <w:pPr>
              <w:keepLines w:val="1"/>
              <w:widowControl w:val="0"/>
              <w:spacing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1.9 Tutvustab avalikkusele noorsootöö olemust, valdkonna olulisust ja tulemuslikkust, kasutades erinevaid meedia- ja suhtluskanaleid ning teisi asjakohaseid väljundeid.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6">
            <w:pPr>
              <w:keepLines w:val="1"/>
              <w:widowControl w:val="0"/>
              <w:spacing w:line="360" w:lineRule="auto"/>
              <w:rPr>
                <w:rFonts w:ascii="Times New Roman" w:cs="Times New Roman" w:eastAsia="Times New Roman" w:hAnsi="Times New Roman"/>
                <w:i w:val="1"/>
                <w:color w:val="434343"/>
                <w:sz w:val="24"/>
                <w:szCs w:val="24"/>
              </w:rPr>
            </w:pPr>
            <w:r w:rsidDel="00000000" w:rsidR="00000000" w:rsidRPr="00000000">
              <w:rPr>
                <w:rFonts w:ascii="Times New Roman" w:cs="Times New Roman" w:eastAsia="Times New Roman" w:hAnsi="Times New Roman"/>
                <w:i w:val="1"/>
                <w:color w:val="434343"/>
                <w:sz w:val="24"/>
                <w:szCs w:val="24"/>
                <w:rtl w:val="0"/>
              </w:rPr>
              <w:t xml:space="preserve">(kirjeldage ja tooge portfoolios konkreetseid näiteid, kuidas täidate tegevusnäitajat 1.9)</w:t>
            </w:r>
          </w:p>
          <w:p w:rsidR="00000000" w:rsidDel="00000000" w:rsidP="00000000" w:rsidRDefault="00000000" w:rsidRPr="00000000" w14:paraId="00000067">
            <w:pPr>
              <w:keepLines w:val="1"/>
              <w:widowControl w:val="0"/>
              <w:spacing w:line="360" w:lineRule="auto"/>
              <w:rPr>
                <w:rFonts w:ascii="Times New Roman" w:cs="Times New Roman" w:eastAsia="Times New Roman" w:hAnsi="Times New Roman"/>
                <w:i w:val="1"/>
                <w:color w:val="434343"/>
                <w:sz w:val="24"/>
                <w:szCs w:val="24"/>
              </w:rPr>
            </w:pPr>
            <w:r w:rsidDel="00000000" w:rsidR="00000000" w:rsidRPr="00000000">
              <w:rPr>
                <w:rtl w:val="0"/>
              </w:rPr>
            </w:r>
          </w:p>
        </w:tc>
      </w:tr>
    </w:tbl>
    <w:p w:rsidR="00000000" w:rsidDel="00000000" w:rsidP="00000000" w:rsidRDefault="00000000" w:rsidRPr="00000000" w14:paraId="00000068">
      <w:pPr>
        <w:spacing w:after="200" w:before="200" w:line="360" w:lineRule="auto"/>
        <w:ind w:left="0" w:firstLine="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69">
      <w:pPr>
        <w:numPr>
          <w:ilvl w:val="0"/>
          <w:numId w:val="3"/>
        </w:numPr>
        <w:spacing w:after="200" w:before="200" w:line="360" w:lineRule="auto"/>
        <w:ind w:left="720" w:hanging="360"/>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JUHTIMINE JA JUHENDAMINE (kompetents B.3.2)</w:t>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2.1 Seab meeskonnale mõõdetavad ja saavutatavad eesmärgid. Kavandab tegevuskava (sh üksiktegevused) ja ressursid eesmärkide täitmiseks.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B">
            <w:pPr>
              <w:keepLines w:val="1"/>
              <w:widowControl w:val="0"/>
              <w:spacing w:line="360" w:lineRule="auto"/>
              <w:rPr>
                <w:rFonts w:ascii="Times New Roman" w:cs="Times New Roman" w:eastAsia="Times New Roman" w:hAnsi="Times New Roman"/>
                <w:i w:val="1"/>
                <w:color w:val="434343"/>
                <w:sz w:val="24"/>
                <w:szCs w:val="24"/>
              </w:rPr>
            </w:pPr>
            <w:r w:rsidDel="00000000" w:rsidR="00000000" w:rsidRPr="00000000">
              <w:rPr>
                <w:rFonts w:ascii="Times New Roman" w:cs="Times New Roman" w:eastAsia="Times New Roman" w:hAnsi="Times New Roman"/>
                <w:i w:val="1"/>
                <w:color w:val="434343"/>
                <w:sz w:val="24"/>
                <w:szCs w:val="24"/>
                <w:rtl w:val="0"/>
              </w:rPr>
              <w:t xml:space="preserve">(kirjeldage ja tooge portfoolios konkreetseid näiteid, kuidas täidate tegevusnäitajat 2.1)</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6"/>
                <w:szCs w:val="2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D">
            <w:pPr>
              <w:keepLines w:val="1"/>
              <w:widowControl w:val="0"/>
              <w:spacing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2.2 Valib olemasoleva teabe ja võimaluste põhjal välja parima lahenduse ning võtab või annab selle ka töösse.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E">
            <w:pPr>
              <w:keepLines w:val="1"/>
              <w:widowControl w:val="0"/>
              <w:spacing w:line="360" w:lineRule="auto"/>
              <w:rPr>
                <w:rFonts w:ascii="Times New Roman" w:cs="Times New Roman" w:eastAsia="Times New Roman" w:hAnsi="Times New Roman"/>
                <w:i w:val="1"/>
                <w:color w:val="434343"/>
                <w:sz w:val="24"/>
                <w:szCs w:val="24"/>
              </w:rPr>
            </w:pPr>
            <w:r w:rsidDel="00000000" w:rsidR="00000000" w:rsidRPr="00000000">
              <w:rPr>
                <w:rFonts w:ascii="Times New Roman" w:cs="Times New Roman" w:eastAsia="Times New Roman" w:hAnsi="Times New Roman"/>
                <w:i w:val="1"/>
                <w:color w:val="434343"/>
                <w:sz w:val="24"/>
                <w:szCs w:val="24"/>
                <w:rtl w:val="0"/>
              </w:rPr>
              <w:t xml:space="preserve">(kirjeldage ja tooge portfoolios konkreetseid näiteid, kuidas täidate tegevusnäitajat 2.2)</w:t>
            </w:r>
          </w:p>
          <w:p w:rsidR="00000000" w:rsidDel="00000000" w:rsidP="00000000" w:rsidRDefault="00000000" w:rsidRPr="00000000" w14:paraId="0000006F">
            <w:pPr>
              <w:keepLines w:val="1"/>
              <w:widowControl w:val="0"/>
              <w:spacing w:line="360" w:lineRule="auto"/>
              <w:rPr>
                <w:rFonts w:ascii="Times New Roman" w:cs="Times New Roman" w:eastAsia="Times New Roman" w:hAnsi="Times New Roman"/>
                <w:i w:val="1"/>
                <w:color w:val="434343"/>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0">
            <w:pPr>
              <w:keepLines w:val="1"/>
              <w:widowControl w:val="0"/>
              <w:spacing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2.3 Annab ülesanded ja selged juhised tegutsemiseks; motiveerib ja innustab teisi; annab asjakohast tagasisidet.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1">
            <w:pPr>
              <w:keepLines w:val="1"/>
              <w:widowControl w:val="0"/>
              <w:spacing w:line="360" w:lineRule="auto"/>
              <w:rPr>
                <w:rFonts w:ascii="Times New Roman" w:cs="Times New Roman" w:eastAsia="Times New Roman" w:hAnsi="Times New Roman"/>
                <w:i w:val="1"/>
                <w:color w:val="434343"/>
                <w:sz w:val="24"/>
                <w:szCs w:val="24"/>
              </w:rPr>
            </w:pPr>
            <w:r w:rsidDel="00000000" w:rsidR="00000000" w:rsidRPr="00000000">
              <w:rPr>
                <w:rFonts w:ascii="Times New Roman" w:cs="Times New Roman" w:eastAsia="Times New Roman" w:hAnsi="Times New Roman"/>
                <w:i w:val="1"/>
                <w:color w:val="434343"/>
                <w:sz w:val="24"/>
                <w:szCs w:val="24"/>
                <w:rtl w:val="0"/>
              </w:rPr>
              <w:t xml:space="preserve">(kirjeldage ja tooge portfoolios konkreetseid näiteid, kuidas täidate tegevusnäitajat 2.3)</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6"/>
                <w:szCs w:val="2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3">
            <w:pPr>
              <w:keepLines w:val="1"/>
              <w:widowControl w:val="0"/>
              <w:spacing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2.4 Loob meeskonnas toetava, usaldusliku töökultuuri. Aitab kaasa positiivse töökeskkonna kujunemisel.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4">
            <w:pPr>
              <w:keepLines w:val="1"/>
              <w:widowControl w:val="0"/>
              <w:spacing w:line="360" w:lineRule="auto"/>
              <w:rPr>
                <w:rFonts w:ascii="Times New Roman" w:cs="Times New Roman" w:eastAsia="Times New Roman" w:hAnsi="Times New Roman"/>
                <w:i w:val="1"/>
                <w:color w:val="434343"/>
                <w:sz w:val="24"/>
                <w:szCs w:val="24"/>
              </w:rPr>
            </w:pPr>
            <w:r w:rsidDel="00000000" w:rsidR="00000000" w:rsidRPr="00000000">
              <w:rPr>
                <w:rFonts w:ascii="Times New Roman" w:cs="Times New Roman" w:eastAsia="Times New Roman" w:hAnsi="Times New Roman"/>
                <w:i w:val="1"/>
                <w:color w:val="434343"/>
                <w:sz w:val="24"/>
                <w:szCs w:val="24"/>
                <w:rtl w:val="0"/>
              </w:rPr>
              <w:t xml:space="preserve">(kirjeldage ja tooge portfoolios konkreetseid näiteid, kuidas täidate tegevusnäitajat 2.4)</w:t>
            </w:r>
          </w:p>
          <w:p w:rsidR="00000000" w:rsidDel="00000000" w:rsidP="00000000" w:rsidRDefault="00000000" w:rsidRPr="00000000" w14:paraId="00000075">
            <w:pPr>
              <w:keepLines w:val="1"/>
              <w:widowControl w:val="0"/>
              <w:spacing w:line="360" w:lineRule="auto"/>
              <w:rPr>
                <w:rFonts w:ascii="Times New Roman" w:cs="Times New Roman" w:eastAsia="Times New Roman" w:hAnsi="Times New Roman"/>
                <w:i w:val="1"/>
                <w:color w:val="434343"/>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6">
            <w:pPr>
              <w:keepLines w:val="1"/>
              <w:widowControl w:val="0"/>
              <w:spacing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2.5 Jälgib tegevuskava täitmist, analüüsib tulemusi, vajadusel kavandab tegevustes muudatusi. Aitab teistel mõista muudatuste vajalikkust, pakub tuge ja juhendab.</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7">
            <w:pPr>
              <w:keepLines w:val="1"/>
              <w:widowControl w:val="0"/>
              <w:spacing w:line="360" w:lineRule="auto"/>
              <w:rPr>
                <w:rFonts w:ascii="Times New Roman" w:cs="Times New Roman" w:eastAsia="Times New Roman" w:hAnsi="Times New Roman"/>
                <w:i w:val="1"/>
                <w:color w:val="434343"/>
                <w:sz w:val="24"/>
                <w:szCs w:val="24"/>
              </w:rPr>
            </w:pPr>
            <w:r w:rsidDel="00000000" w:rsidR="00000000" w:rsidRPr="00000000">
              <w:rPr>
                <w:rFonts w:ascii="Times New Roman" w:cs="Times New Roman" w:eastAsia="Times New Roman" w:hAnsi="Times New Roman"/>
                <w:i w:val="1"/>
                <w:color w:val="434343"/>
                <w:sz w:val="24"/>
                <w:szCs w:val="24"/>
                <w:rtl w:val="0"/>
              </w:rPr>
              <w:t xml:space="preserve">(kirjeldage ja tooge portfoolios konkreetseid näiteid, kuidas täidate tegevusnäitajat 2.5)</w:t>
            </w:r>
          </w:p>
          <w:p w:rsidR="00000000" w:rsidDel="00000000" w:rsidP="00000000" w:rsidRDefault="00000000" w:rsidRPr="00000000" w14:paraId="00000078">
            <w:pPr>
              <w:keepLines w:val="1"/>
              <w:widowControl w:val="0"/>
              <w:spacing w:line="360" w:lineRule="auto"/>
              <w:rPr>
                <w:rFonts w:ascii="Times New Roman" w:cs="Times New Roman" w:eastAsia="Times New Roman" w:hAnsi="Times New Roman"/>
                <w:i w:val="1"/>
                <w:color w:val="434343"/>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9">
            <w:pPr>
              <w:keepLines w:val="1"/>
              <w:widowControl w:val="0"/>
              <w:spacing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2.6 Tuvastab ja haldab riske, mis võivad eesmärkide saavutamist takistada.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A">
            <w:pPr>
              <w:keepLines w:val="1"/>
              <w:widowControl w:val="0"/>
              <w:spacing w:line="360" w:lineRule="auto"/>
              <w:rPr>
                <w:rFonts w:ascii="Times New Roman" w:cs="Times New Roman" w:eastAsia="Times New Roman" w:hAnsi="Times New Roman"/>
                <w:i w:val="1"/>
                <w:color w:val="434343"/>
                <w:sz w:val="24"/>
                <w:szCs w:val="24"/>
              </w:rPr>
            </w:pPr>
            <w:r w:rsidDel="00000000" w:rsidR="00000000" w:rsidRPr="00000000">
              <w:rPr>
                <w:rFonts w:ascii="Times New Roman" w:cs="Times New Roman" w:eastAsia="Times New Roman" w:hAnsi="Times New Roman"/>
                <w:i w:val="1"/>
                <w:color w:val="434343"/>
                <w:sz w:val="24"/>
                <w:szCs w:val="24"/>
                <w:rtl w:val="0"/>
              </w:rPr>
              <w:t xml:space="preserve">(kirjeldage ja tooge portfoolios konkreetseid näiteid, kuidas täidate tegevusnäitajat 2.6)</w:t>
            </w:r>
          </w:p>
          <w:p w:rsidR="00000000" w:rsidDel="00000000" w:rsidP="00000000" w:rsidRDefault="00000000" w:rsidRPr="00000000" w14:paraId="0000007B">
            <w:pPr>
              <w:keepLines w:val="1"/>
              <w:widowControl w:val="0"/>
              <w:spacing w:line="360" w:lineRule="auto"/>
              <w:rPr>
                <w:rFonts w:ascii="Times New Roman" w:cs="Times New Roman" w:eastAsia="Times New Roman" w:hAnsi="Times New Roman"/>
                <w:i w:val="1"/>
                <w:color w:val="434343"/>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C">
            <w:pPr>
              <w:keepLines w:val="1"/>
              <w:widowControl w:val="0"/>
              <w:spacing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2.7 Kasutab tegevuste elluviimisel nii olemasolevaid kui ka uusi teadmistepõhiseid meetodeid ja tehnoloogiat.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D">
            <w:pPr>
              <w:keepLines w:val="1"/>
              <w:widowControl w:val="0"/>
              <w:spacing w:line="360" w:lineRule="auto"/>
              <w:rPr>
                <w:rFonts w:ascii="Times New Roman" w:cs="Times New Roman" w:eastAsia="Times New Roman" w:hAnsi="Times New Roman"/>
                <w:i w:val="1"/>
                <w:color w:val="434343"/>
                <w:sz w:val="24"/>
                <w:szCs w:val="24"/>
              </w:rPr>
            </w:pPr>
            <w:r w:rsidDel="00000000" w:rsidR="00000000" w:rsidRPr="00000000">
              <w:rPr>
                <w:rFonts w:ascii="Times New Roman" w:cs="Times New Roman" w:eastAsia="Times New Roman" w:hAnsi="Times New Roman"/>
                <w:i w:val="1"/>
                <w:color w:val="434343"/>
                <w:sz w:val="24"/>
                <w:szCs w:val="24"/>
                <w:rtl w:val="0"/>
              </w:rPr>
              <w:t xml:space="preserve">(kirjeldage ja tooge portfoolios konkreetseid näiteid, kuidas täidate tegevusnäitajat 2.7)</w:t>
            </w:r>
          </w:p>
          <w:p w:rsidR="00000000" w:rsidDel="00000000" w:rsidP="00000000" w:rsidRDefault="00000000" w:rsidRPr="00000000" w14:paraId="0000007E">
            <w:pPr>
              <w:keepLines w:val="1"/>
              <w:widowControl w:val="0"/>
              <w:spacing w:line="360" w:lineRule="auto"/>
              <w:rPr>
                <w:rFonts w:ascii="Times New Roman" w:cs="Times New Roman" w:eastAsia="Times New Roman" w:hAnsi="Times New Roman"/>
                <w:sz w:val="26"/>
                <w:szCs w:val="26"/>
              </w:rPr>
            </w:pPr>
            <w:r w:rsidDel="00000000" w:rsidR="00000000" w:rsidRPr="00000000">
              <w:rPr>
                <w:rtl w:val="0"/>
              </w:rPr>
            </w:r>
          </w:p>
        </w:tc>
      </w:tr>
      <w:tr>
        <w:trPr>
          <w:cantSplit w:val="0"/>
          <w:trHeight w:val="201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F">
            <w:pPr>
              <w:keepLines w:val="1"/>
              <w:widowControl w:val="0"/>
              <w:spacing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2.8 Planeerib kolleegi juhendamisprotsessi ja toetab tema tööalaste oskuste ja teadmiste omandamist. Analüüsiib koos kolleegiga tema tööalast tegevust annab tagasisidet, kuidas tööd/tegevusi tulemuslikumaks ja tõhusamaks muuta.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0">
            <w:pPr>
              <w:keepLines w:val="1"/>
              <w:widowControl w:val="0"/>
              <w:spacing w:line="360" w:lineRule="auto"/>
              <w:rPr>
                <w:rFonts w:ascii="Times New Roman" w:cs="Times New Roman" w:eastAsia="Times New Roman" w:hAnsi="Times New Roman"/>
                <w:i w:val="1"/>
                <w:color w:val="434343"/>
                <w:sz w:val="24"/>
                <w:szCs w:val="24"/>
              </w:rPr>
            </w:pPr>
            <w:r w:rsidDel="00000000" w:rsidR="00000000" w:rsidRPr="00000000">
              <w:rPr>
                <w:rFonts w:ascii="Times New Roman" w:cs="Times New Roman" w:eastAsia="Times New Roman" w:hAnsi="Times New Roman"/>
                <w:i w:val="1"/>
                <w:color w:val="434343"/>
                <w:sz w:val="24"/>
                <w:szCs w:val="24"/>
                <w:rtl w:val="0"/>
              </w:rPr>
              <w:t xml:space="preserve">(kirjeldage ja tooge portfoolios konkreetseid näiteid, kuidas täidate tegevusnäitajat 2.8)</w:t>
            </w:r>
          </w:p>
          <w:p w:rsidR="00000000" w:rsidDel="00000000" w:rsidP="00000000" w:rsidRDefault="00000000" w:rsidRPr="00000000" w14:paraId="00000081">
            <w:pPr>
              <w:keepLines w:val="1"/>
              <w:widowControl w:val="0"/>
              <w:spacing w:line="360" w:lineRule="auto"/>
              <w:rPr>
                <w:rFonts w:ascii="Times New Roman" w:cs="Times New Roman" w:eastAsia="Times New Roman" w:hAnsi="Times New Roman"/>
                <w:sz w:val="26"/>
                <w:szCs w:val="26"/>
              </w:rPr>
            </w:pPr>
            <w:r w:rsidDel="00000000" w:rsidR="00000000" w:rsidRPr="00000000">
              <w:rPr>
                <w:rtl w:val="0"/>
              </w:rPr>
            </w:r>
          </w:p>
        </w:tc>
      </w:tr>
    </w:tbl>
    <w:p w:rsidR="00000000" w:rsidDel="00000000" w:rsidP="00000000" w:rsidRDefault="00000000" w:rsidRPr="00000000" w14:paraId="00000082">
      <w:pPr>
        <w:spacing w:after="200" w:before="200" w:line="360" w:lineRule="auto"/>
        <w:ind w:left="0" w:firstLine="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83">
      <w:pPr>
        <w:numPr>
          <w:ilvl w:val="0"/>
          <w:numId w:val="3"/>
        </w:numPr>
        <w:spacing w:after="200" w:before="200" w:line="360" w:lineRule="auto"/>
        <w:ind w:left="720" w:hanging="360"/>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TURVALISE KESKKONNA TAGAMINE (kompetents B.3.3)</w:t>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3.1 Analüüsib keskkonnariske ja määrab riskide vähendamise meetmeid.</w:t>
            </w:r>
          </w:p>
        </w:tc>
      </w:tr>
      <w:tr>
        <w:trPr>
          <w:cantSplit w:val="0"/>
          <w:trHeight w:val="956.9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5">
            <w:pPr>
              <w:keepLines w:val="1"/>
              <w:widowControl w:val="0"/>
              <w:spacing w:line="360" w:lineRule="auto"/>
              <w:rPr>
                <w:rFonts w:ascii="Times New Roman" w:cs="Times New Roman" w:eastAsia="Times New Roman" w:hAnsi="Times New Roman"/>
                <w:i w:val="1"/>
                <w:color w:val="434343"/>
                <w:sz w:val="24"/>
                <w:szCs w:val="24"/>
              </w:rPr>
            </w:pPr>
            <w:r w:rsidDel="00000000" w:rsidR="00000000" w:rsidRPr="00000000">
              <w:rPr>
                <w:rFonts w:ascii="Times New Roman" w:cs="Times New Roman" w:eastAsia="Times New Roman" w:hAnsi="Times New Roman"/>
                <w:i w:val="1"/>
                <w:color w:val="434343"/>
                <w:sz w:val="24"/>
                <w:szCs w:val="24"/>
                <w:rtl w:val="0"/>
              </w:rPr>
              <w:t xml:space="preserve">(kirjeldage ja tooge portfoolios konkreetseid näiteid, kuidas täidate tegevusnäitajat 3.1)</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1"/>
                <w:color w:val="434343"/>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3.2 Loob noorsootöö tegevustes turvalise füüsilise ja psühhosotsiaalse keskkonna, mis toetab usalduslike suhete kujunemist, rakendades riskianalüüsis määratud meetmeid.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8">
            <w:pPr>
              <w:keepLines w:val="1"/>
              <w:widowControl w:val="0"/>
              <w:spacing w:line="360" w:lineRule="auto"/>
              <w:rPr>
                <w:rFonts w:ascii="Times New Roman" w:cs="Times New Roman" w:eastAsia="Times New Roman" w:hAnsi="Times New Roman"/>
                <w:i w:val="1"/>
                <w:color w:val="434343"/>
                <w:sz w:val="24"/>
                <w:szCs w:val="24"/>
              </w:rPr>
            </w:pPr>
            <w:r w:rsidDel="00000000" w:rsidR="00000000" w:rsidRPr="00000000">
              <w:rPr>
                <w:rFonts w:ascii="Times New Roman" w:cs="Times New Roman" w:eastAsia="Times New Roman" w:hAnsi="Times New Roman"/>
                <w:i w:val="1"/>
                <w:color w:val="434343"/>
                <w:sz w:val="24"/>
                <w:szCs w:val="24"/>
                <w:rtl w:val="0"/>
              </w:rPr>
              <w:t xml:space="preserve">(kirjeldage ja tooge portfoolios konkreetseid näiteid, kuidas täidate tegevusnäitajat 3.2)</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3.3 Tutvustab noortele ja kolleegidele turvalise keskkonna tagamise reegleid ja ohutusnõudeid ning jälgib nende täitmist.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A">
            <w:pPr>
              <w:keepLines w:val="1"/>
              <w:widowControl w:val="0"/>
              <w:spacing w:line="360" w:lineRule="auto"/>
              <w:rPr>
                <w:rFonts w:ascii="Times New Roman" w:cs="Times New Roman" w:eastAsia="Times New Roman" w:hAnsi="Times New Roman"/>
                <w:i w:val="1"/>
                <w:color w:val="434343"/>
                <w:sz w:val="24"/>
                <w:szCs w:val="24"/>
              </w:rPr>
            </w:pPr>
            <w:r w:rsidDel="00000000" w:rsidR="00000000" w:rsidRPr="00000000">
              <w:rPr>
                <w:rFonts w:ascii="Times New Roman" w:cs="Times New Roman" w:eastAsia="Times New Roman" w:hAnsi="Times New Roman"/>
                <w:i w:val="1"/>
                <w:color w:val="434343"/>
                <w:sz w:val="24"/>
                <w:szCs w:val="24"/>
                <w:rtl w:val="0"/>
              </w:rPr>
              <w:t xml:space="preserve">(kirjeldage ja tooge portfoolios konkreetseid näiteid, kuidas täidate tegevusnäitajat 3.3)</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1"/>
                <w:color w:val="434343"/>
                <w:sz w:val="24"/>
                <w:szCs w:val="24"/>
              </w:rPr>
            </w:pPr>
            <w:r w:rsidDel="00000000" w:rsidR="00000000" w:rsidRPr="00000000">
              <w:rPr>
                <w:rtl w:val="0"/>
              </w:rPr>
            </w:r>
          </w:p>
        </w:tc>
      </w:tr>
    </w:tbl>
    <w:p w:rsidR="00000000" w:rsidDel="00000000" w:rsidP="00000000" w:rsidRDefault="00000000" w:rsidRPr="00000000" w14:paraId="0000008C">
      <w:pPr>
        <w:spacing w:after="200" w:before="200" w:line="360" w:lineRule="auto"/>
        <w:ind w:left="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ab/>
        <w:tab/>
        <w:tab/>
        <w:tab/>
        <w:tab/>
        <w:tab/>
        <w:tab/>
        <w:tab/>
        <w:tab/>
        <w:tab/>
      </w:r>
    </w:p>
    <w:p w:rsidR="00000000" w:rsidDel="00000000" w:rsidP="00000000" w:rsidRDefault="00000000" w:rsidRPr="00000000" w14:paraId="0000008D">
      <w:pPr>
        <w:numPr>
          <w:ilvl w:val="0"/>
          <w:numId w:val="3"/>
        </w:numPr>
        <w:spacing w:after="200" w:before="200" w:line="360" w:lineRule="auto"/>
        <w:ind w:left="720" w:hanging="360"/>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PROFESSIONAALNE ENESEARENDAMINE (kompetents B.3.4)</w:t>
      </w:r>
    </w:p>
    <w:tbl>
      <w:tblPr>
        <w:tblStyle w:val="Table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rHeight w:val="1167.949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3.1 Analüüsib ennast regulaarselt oma töö kontekstis ja täiendab ennast erialaselt. Rakendab omandatud teadmisi ja oskusi oma töös.</w:t>
            </w:r>
          </w:p>
        </w:tc>
      </w:tr>
      <w:tr>
        <w:trPr>
          <w:cantSplit w:val="0"/>
          <w:trHeight w:val="1077.949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3.2 Jälgi, hindab ja väärtustab enda füüsilist ja vaimset tervist; probleemide tekkimisel otsib vajadusel abi.</w:t>
            </w:r>
          </w:p>
        </w:tc>
      </w:tr>
      <w:tr>
        <w:trPr>
          <w:cantSplit w:val="0"/>
          <w:trHeight w:val="898.9746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3.3 Küsib, võtab vastu ja annab edasiviivat tagasisidet.</w:t>
            </w:r>
          </w:p>
        </w:tc>
      </w:tr>
      <w:tr>
        <w:trPr>
          <w:cantSplit w:val="0"/>
          <w:trHeight w:val="309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1"/>
                <w:color w:val="434343"/>
                <w:sz w:val="24"/>
                <w:szCs w:val="24"/>
              </w:rPr>
            </w:pPr>
            <w:r w:rsidDel="00000000" w:rsidR="00000000" w:rsidRPr="00000000">
              <w:rPr>
                <w:rFonts w:ascii="Times New Roman" w:cs="Times New Roman" w:eastAsia="Times New Roman" w:hAnsi="Times New Roman"/>
                <w:i w:val="1"/>
                <w:color w:val="434343"/>
                <w:sz w:val="24"/>
                <w:szCs w:val="24"/>
                <w:rtl w:val="0"/>
              </w:rPr>
              <w:t xml:space="preserve">(kirjeldage, kuidas täidate tegevusnäitajaid 4.1; 4.2; 4.3)</w:t>
            </w:r>
          </w:p>
        </w:tc>
      </w:tr>
    </w:tbl>
    <w:p w:rsidR="00000000" w:rsidDel="00000000" w:rsidP="00000000" w:rsidRDefault="00000000" w:rsidRPr="00000000" w14:paraId="00000092">
      <w:pPr>
        <w:spacing w:after="200" w:before="200"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93">
      <w:pPr>
        <w:spacing w:after="200" w:before="200"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94">
      <w:pPr>
        <w:spacing w:after="200" w:before="200"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95">
      <w:pPr>
        <w:spacing w:after="200" w:before="20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NOORSOOTÖÖTAJA, TASE 6 ÜLDOSKUSED</w:t>
      </w:r>
    </w:p>
    <w:tbl>
      <w:tblPr>
        <w:tblStyle w:val="Table6"/>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B.2 Üldoskused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1"/>
                <w:color w:val="434343"/>
                <w:sz w:val="24"/>
                <w:szCs w:val="24"/>
              </w:rPr>
            </w:pPr>
            <w:r w:rsidDel="00000000" w:rsidR="00000000" w:rsidRPr="00000000">
              <w:rPr>
                <w:rFonts w:ascii="Times New Roman" w:cs="Times New Roman" w:eastAsia="Times New Roman" w:hAnsi="Times New Roman"/>
                <w:i w:val="1"/>
                <w:color w:val="434343"/>
                <w:sz w:val="24"/>
                <w:szCs w:val="24"/>
                <w:rtl w:val="0"/>
              </w:rPr>
              <w:t xml:space="preserve">(kirjeldage, kuidas kasutate enda töös noorsootöötaja, tase 6 üldoskuseid: </w:t>
            </w:r>
            <w:hyperlink r:id="rId17">
              <w:r w:rsidDel="00000000" w:rsidR="00000000" w:rsidRPr="00000000">
                <w:rPr>
                  <w:rFonts w:ascii="Times New Roman" w:cs="Times New Roman" w:eastAsia="Times New Roman" w:hAnsi="Times New Roman"/>
                  <w:i w:val="1"/>
                  <w:color w:val="1155cc"/>
                  <w:sz w:val="24"/>
                  <w:szCs w:val="24"/>
                  <w:u w:val="single"/>
                  <w:rtl w:val="0"/>
                </w:rPr>
                <w:t xml:space="preserve">https://www.kutseregister.ee/ctrl/et/Standardid/vaata/11094736</w:t>
              </w:r>
            </w:hyperlink>
            <w:r w:rsidDel="00000000" w:rsidR="00000000" w:rsidRPr="00000000">
              <w:rPr>
                <w:rFonts w:ascii="Times New Roman" w:cs="Times New Roman" w:eastAsia="Times New Roman" w:hAnsi="Times New Roman"/>
                <w:i w:val="1"/>
                <w:color w:val="434343"/>
                <w:sz w:val="24"/>
                <w:szCs w:val="24"/>
                <w:rtl w:val="0"/>
              </w:rPr>
              <w:t xml:space="preserve">)</w:t>
            </w:r>
          </w:p>
        </w:tc>
      </w:tr>
    </w:tbl>
    <w:p w:rsidR="00000000" w:rsidDel="00000000" w:rsidP="00000000" w:rsidRDefault="00000000" w:rsidRPr="00000000" w14:paraId="00000098">
      <w:pPr>
        <w:spacing w:after="200" w:before="200"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99">
      <w:pPr>
        <w:spacing w:after="200" w:before="200" w:line="360" w:lineRule="auto"/>
        <w:jc w:val="both"/>
        <w:rPr>
          <w:rFonts w:ascii="Times New Roman" w:cs="Times New Roman" w:eastAsia="Times New Roman" w:hAnsi="Times New Roman"/>
          <w:i w:val="1"/>
          <w:sz w:val="26"/>
          <w:szCs w:val="26"/>
        </w:rPr>
      </w:pPr>
      <w:r w:rsidDel="00000000" w:rsidR="00000000" w:rsidRPr="00000000">
        <w:rPr>
          <w:rFonts w:ascii="Times New Roman" w:cs="Times New Roman" w:eastAsia="Times New Roman" w:hAnsi="Times New Roman"/>
          <w:i w:val="1"/>
          <w:sz w:val="26"/>
          <w:szCs w:val="26"/>
          <w:rtl w:val="0"/>
        </w:rPr>
        <w:t xml:space="preserve">Kui oled lisanud enda taotlusele täiendusõppetõendeid, mis ei ole otseselt seotud noortevaldkonnaga, siis palun kirjelda, kuidas antud tõendid toetavad teid teie erialasel tööl.</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kutseregister.ee/ctrl/et/KAO/vaata/10993646" TargetMode="External"/><Relationship Id="rId10" Type="http://schemas.openxmlformats.org/officeDocument/2006/relationships/hyperlink" Target="https://www.riigiteataja.ee/akt/116062020010?leiaKehtiv" TargetMode="External"/><Relationship Id="rId13" Type="http://schemas.openxmlformats.org/officeDocument/2006/relationships/hyperlink" Target="https://www.kutseregister.ee/ctrl/et/KAO_Fail/downloadFile/11338221" TargetMode="External"/><Relationship Id="rId12" Type="http://schemas.openxmlformats.org/officeDocument/2006/relationships/hyperlink" Target="https://www.google.com/url?sa=i&amp;url=https%3A%2F%2Fwww.kutseregister.ee%2Fctrl%2Fet%2FStandardid_Lisa%2FdownloadFile%2F10667811&amp;psig=AOvVaw1roWeKhytCdyj6XQtmofYm&amp;ust=1753968791856000&amp;source=images&amp;cd=vfe&amp;opi=89978449&amp;ved=0CAcQr5oMahcKEwiI-NiH2eSOAxUAAAAAHQAAAAAQBA"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kutse@enk.ee" TargetMode="External"/><Relationship Id="rId15" Type="http://schemas.openxmlformats.org/officeDocument/2006/relationships/hyperlink" Target="https://enk.ee/wp-content/uploads/2025/04/Hindamise-korraldamise-juhend.docx-2.pdf" TargetMode="External"/><Relationship Id="rId14" Type="http://schemas.openxmlformats.org/officeDocument/2006/relationships/hyperlink" Target="https://harno.ee/laagrid#laagrite-korraldamis" TargetMode="External"/><Relationship Id="rId17" Type="http://schemas.openxmlformats.org/officeDocument/2006/relationships/hyperlink" Target="https://www.kutseregister.ee/ctrl/et/Standardid/vaata/11094736" TargetMode="External"/><Relationship Id="rId16" Type="http://schemas.openxmlformats.org/officeDocument/2006/relationships/hyperlink" Target="https://www.kutseregister.ee/ctrl/et/Standardid/vaata/11094736" TargetMode="External"/><Relationship Id="rId5" Type="http://schemas.openxmlformats.org/officeDocument/2006/relationships/styles" Target="styles.xml"/><Relationship Id="rId6" Type="http://schemas.openxmlformats.org/officeDocument/2006/relationships/hyperlink" Target="https://www.kutseregister.ee/ctrl/et/Standardid/vaata/11094711" TargetMode="External"/><Relationship Id="rId7" Type="http://schemas.openxmlformats.org/officeDocument/2006/relationships/hyperlink" Target="https://www.kutseregister.ee/ctrl/et/Standardid/vaata/11094736" TargetMode="External"/><Relationship Id="rId8" Type="http://schemas.openxmlformats.org/officeDocument/2006/relationships/hyperlink" Target="https://www.kutseregister.ee/ctrl/et/Standardid/vaata/1109479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